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F13A27">
              <w:rPr>
                <w:b/>
                <w:color w:val="4F81BD" w:themeColor="accent1"/>
              </w:rPr>
              <w:t>„</w:t>
            </w:r>
            <w:r w:rsidR="003A566B" w:rsidRPr="00F13A27">
              <w:rPr>
                <w:b/>
                <w:color w:val="4F81BD" w:themeColor="accent1"/>
              </w:rPr>
              <w:t xml:space="preserve">Stärken und Schwächen, </w:t>
            </w:r>
            <w:r w:rsidR="00115D13" w:rsidRPr="00F13A27">
              <w:rPr>
                <w:b/>
                <w:color w:val="4F81BD" w:themeColor="accent1"/>
              </w:rPr>
              <w:t>Chancen und Risiken von Gesundheits-Apps</w:t>
            </w:r>
            <w:r w:rsidR="00EF7934" w:rsidRPr="00F13A27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F13A27" w:rsidRPr="002A28C1" w:rsidTr="00F07C6B">
        <w:trPr>
          <w:trHeight w:val="2110"/>
        </w:trPr>
        <w:tc>
          <w:tcPr>
            <w:tcW w:w="4503" w:type="dxa"/>
          </w:tcPr>
          <w:p w:rsidR="00F13A27" w:rsidRDefault="00F13A2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B4F06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>
              <w:rPr>
                <w:rFonts w:cstheme="minorHAnsi"/>
                <w:color w:val="0070C0"/>
                <w:sz w:val="18"/>
                <w:szCs w:val="18"/>
              </w:rPr>
              <w:t>stellen Chancen als auch Risiken und Qualitätskriterien von Gesundheits-Apps dar</w:t>
            </w:r>
          </w:p>
          <w:p w:rsidR="00F13A27" w:rsidRDefault="00F13A2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Pr="008B4F06" w:rsidRDefault="00F13A2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Chancen in der Gesundheitsversorgung</w:t>
            </w: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Evidenz von Apps im Bereich Lifestyle</w:t>
            </w: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Privatheit und Transparenz</w:t>
            </w: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Gefahren durch Gesundheits-Apps (Fehlgebrauch, Fehlbehandlung u.a.)</w:t>
            </w:r>
          </w:p>
          <w:p w:rsidR="00F13A27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Pr="00C72F81" w:rsidRDefault="00F13A27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Anwendungs- und produktbezogene Qualitätskriterien</w:t>
            </w:r>
          </w:p>
        </w:tc>
        <w:tc>
          <w:tcPr>
            <w:tcW w:w="3544" w:type="dxa"/>
          </w:tcPr>
          <w:p w:rsidR="00F13A27" w:rsidRDefault="00F13A27" w:rsidP="001B0D8B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245B01">
              <w:rPr>
                <w:rFonts w:cstheme="minorHAnsi"/>
                <w:color w:val="0070C0"/>
                <w:sz w:val="18"/>
                <w:szCs w:val="18"/>
              </w:rPr>
              <w:t xml:space="preserve">Albrecht, U.V. (Hg.) (2016): Chancen und Risiken von Gesundheits-Apps (CHARISMAH). Medizinische Hochschule Hannover. Online unter: </w:t>
            </w:r>
            <w:hyperlink r:id="rId8" w:history="1">
              <w:r w:rsidRPr="00245B01">
                <w:rPr>
                  <w:rStyle w:val="Hyperlink"/>
                  <w:rFonts w:cstheme="minorHAnsi"/>
                  <w:sz w:val="18"/>
                  <w:szCs w:val="18"/>
                </w:rPr>
                <w:t>https://www.bundesgesundheitsministerium.de/fileadmin/Dateien/3_Downloads/A/App-Studie/CHARISMHA_gesamt_V.01.3-20160424.pdf</w:t>
              </w:r>
            </w:hyperlink>
          </w:p>
          <w:p w:rsidR="00F13A27" w:rsidRDefault="00F13A27" w:rsidP="001B0D8B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:rsidR="00F13A27" w:rsidRPr="00F13A27" w:rsidRDefault="00F13A27" w:rsidP="003A566B">
            <w:pPr>
              <w:rPr>
                <w:color w:val="0070C0"/>
                <w:sz w:val="18"/>
                <w:szCs w:val="18"/>
              </w:rPr>
            </w:pPr>
            <w:r w:rsidRPr="00F13A27">
              <w:rPr>
                <w:color w:val="0070C0"/>
                <w:sz w:val="18"/>
                <w:szCs w:val="18"/>
              </w:rPr>
              <w:t>Dadaczynsky K./Tolks, D. (2018): Digitale Public Health: Chancen und Herausforderungen internetbasierter Technologien und Anwendungen. In: Public Health Forum, 26 (3), S. 275-278</w:t>
            </w:r>
          </w:p>
          <w:p w:rsidR="00F13A27" w:rsidRPr="00C72F81" w:rsidRDefault="00F13A27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F13A27" w:rsidRPr="00F13A27" w:rsidRDefault="00F13A27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13A27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F13A27" w:rsidRPr="00344EAC" w:rsidRDefault="00F13A27" w:rsidP="00596D8A">
            <w:pPr>
              <w:rPr>
                <w:rFonts w:cstheme="minorHAnsi"/>
                <w:color w:val="0070C0"/>
              </w:rPr>
            </w:pPr>
          </w:p>
          <w:p w:rsidR="00F13A27" w:rsidRPr="00344EAC" w:rsidRDefault="00F13A27" w:rsidP="00596D8A">
            <w:pPr>
              <w:rPr>
                <w:rFonts w:cstheme="minorHAnsi"/>
                <w:color w:val="0070C0"/>
              </w:rPr>
            </w:pPr>
          </w:p>
        </w:tc>
      </w:tr>
      <w:tr w:rsidR="00F13A27" w:rsidRPr="00F07C6B" w:rsidTr="008B4F06">
        <w:trPr>
          <w:trHeight w:val="851"/>
        </w:trPr>
        <w:tc>
          <w:tcPr>
            <w:tcW w:w="4503" w:type="dxa"/>
          </w:tcPr>
          <w:p w:rsidR="00F13A27" w:rsidRPr="008B4F06" w:rsidRDefault="00F13A27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zeigen allgemeine Herausforderungen der Entwicklung von Gesundheits-Apps auf</w:t>
            </w:r>
          </w:p>
        </w:tc>
        <w:tc>
          <w:tcPr>
            <w:tcW w:w="4819" w:type="dxa"/>
          </w:tcPr>
          <w:p w:rsidR="00F13A27" w:rsidRDefault="00F13A27" w:rsidP="00AE734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AE7349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Qualitäts- und Datenschutzprobleme</w:t>
            </w:r>
          </w:p>
          <w:p w:rsidR="00F13A27" w:rsidRDefault="00F13A27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AE7349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mangelnde Medienkompetenz der Leistungsanbieter zur Lotsenfunktion</w:t>
            </w:r>
          </w:p>
          <w:p w:rsidR="00F13A27" w:rsidRDefault="00F13A27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F13A27" w:rsidRDefault="00F13A27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u.a.</w:t>
            </w:r>
          </w:p>
        </w:tc>
        <w:tc>
          <w:tcPr>
            <w:tcW w:w="3544" w:type="dxa"/>
          </w:tcPr>
          <w:p w:rsidR="00F13A27" w:rsidRPr="00C72F81" w:rsidRDefault="00F13A27" w:rsidP="00032CC2">
            <w:pPr>
              <w:rPr>
                <w:color w:val="0070C0"/>
                <w:sz w:val="18"/>
                <w:szCs w:val="18"/>
              </w:rPr>
            </w:pPr>
            <w:r w:rsidRPr="00C72F81">
              <w:rPr>
                <w:color w:val="0070C0"/>
                <w:sz w:val="18"/>
                <w:szCs w:val="18"/>
              </w:rPr>
              <w:t xml:space="preserve">Trojan, A./Kohfal, C. (2015): Digitale Medien als Instrument der Förderung von Health Literacy. In: Health Literacy/Gesundheitsförderung – Wissenschaftliche Definitionen, empirische Befunde und gesellschaftlicher Nutzen, BzGA, Gesundheitsförderung konkret, Bd. 20, Köln, S. </w:t>
            </w:r>
            <w:r>
              <w:rPr>
                <w:color w:val="0070C0"/>
                <w:sz w:val="18"/>
                <w:szCs w:val="18"/>
              </w:rPr>
              <w:t>79</w:t>
            </w:r>
            <w:r w:rsidRPr="00C72F81">
              <w:rPr>
                <w:color w:val="0070C0"/>
                <w:sz w:val="18"/>
                <w:szCs w:val="18"/>
              </w:rPr>
              <w:t>-</w:t>
            </w:r>
            <w:r>
              <w:rPr>
                <w:color w:val="0070C0"/>
                <w:sz w:val="18"/>
                <w:szCs w:val="18"/>
              </w:rPr>
              <w:t>88</w:t>
            </w:r>
          </w:p>
          <w:p w:rsidR="00F13A27" w:rsidRDefault="00F13A27" w:rsidP="00EF7934">
            <w:pPr>
              <w:rPr>
                <w:color w:val="0070C0"/>
                <w:sz w:val="18"/>
                <w:szCs w:val="18"/>
              </w:rPr>
            </w:pPr>
          </w:p>
          <w:p w:rsidR="00F13A27" w:rsidRDefault="00F13A27" w:rsidP="00EF7934">
            <w:pPr>
              <w:rPr>
                <w:color w:val="0070C0"/>
                <w:sz w:val="18"/>
                <w:szCs w:val="18"/>
              </w:rPr>
            </w:pPr>
            <w:r w:rsidRPr="00C72F81">
              <w:rPr>
                <w:color w:val="0070C0"/>
                <w:sz w:val="18"/>
                <w:szCs w:val="18"/>
              </w:rPr>
              <w:t>Krüger-Brand, H.E. (2016): Apps in der Medizin – viele Sicherheitsrisiken. In: Deutsches Ärzteblatt 113 (5), S. A 174-175</w:t>
            </w:r>
          </w:p>
          <w:p w:rsidR="00F13A27" w:rsidRPr="00C72F81" w:rsidRDefault="00F13A27" w:rsidP="003A566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13A27" w:rsidRPr="00F07C6B" w:rsidRDefault="00F13A27" w:rsidP="00EF7934">
            <w:pPr>
              <w:rPr>
                <w:rFonts w:cstheme="minorHAnsi"/>
                <w:color w:val="0070C0"/>
              </w:rPr>
            </w:pP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00" w:rsidRDefault="00FC7900" w:rsidP="002C78E9">
      <w:pPr>
        <w:spacing w:after="0" w:line="240" w:lineRule="auto"/>
      </w:pPr>
      <w:r>
        <w:separator/>
      </w:r>
    </w:p>
  </w:endnote>
  <w:endnote w:type="continuationSeparator" w:id="0">
    <w:p w:rsidR="00FC7900" w:rsidRDefault="00FC7900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15" w:rsidRDefault="00D31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14D" w:rsidRDefault="009D414D" w:rsidP="009D414D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15" w:rsidRDefault="00D313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00" w:rsidRDefault="00FC7900" w:rsidP="002C78E9">
      <w:pPr>
        <w:spacing w:after="0" w:line="240" w:lineRule="auto"/>
      </w:pPr>
      <w:r>
        <w:separator/>
      </w:r>
    </w:p>
  </w:footnote>
  <w:footnote w:type="continuationSeparator" w:id="0">
    <w:p w:rsidR="00FC7900" w:rsidRDefault="00FC7900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15" w:rsidRDefault="00D313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15" w:rsidRDefault="00D313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CC2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5D13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3F98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45B01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419A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566B"/>
    <w:rsid w:val="003A6236"/>
    <w:rsid w:val="003B1C78"/>
    <w:rsid w:val="003B382E"/>
    <w:rsid w:val="003B3FCA"/>
    <w:rsid w:val="003B4792"/>
    <w:rsid w:val="003B6E4D"/>
    <w:rsid w:val="003C11BB"/>
    <w:rsid w:val="003C2414"/>
    <w:rsid w:val="003C39E0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63E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016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A72C7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6F620E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18C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4F06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414D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E7349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2F81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315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3A27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0A86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C790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fileadmin/Dateien/3_Downloads/A/App-Studie/CHARISMHA_gesamt_V.01.3-2016042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A5A9-ADAF-4D48-A917-24155BD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59</cp:revision>
  <cp:lastPrinted>2018-12-04T14:42:00Z</cp:lastPrinted>
  <dcterms:created xsi:type="dcterms:W3CDTF">2019-08-12T10:24:00Z</dcterms:created>
  <dcterms:modified xsi:type="dcterms:W3CDTF">2019-11-21T06:29:00Z</dcterms:modified>
</cp:coreProperties>
</file>