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51926" w:rsidRDefault="002244AD" w:rsidP="00270F07">
            <w:pPr>
              <w:rPr>
                <w:b/>
                <w:color w:val="4F81BD" w:themeColor="accent1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C51926">
              <w:rPr>
                <w:b/>
                <w:color w:val="4F81BD" w:themeColor="accent1"/>
              </w:rPr>
              <w:t>„</w:t>
            </w:r>
            <w:r w:rsidR="00475CD4" w:rsidRPr="00C51926">
              <w:rPr>
                <w:b/>
                <w:color w:val="4F81BD" w:themeColor="accent1"/>
              </w:rPr>
              <w:t>Bausteine und Standards einer gesundheitskompetenten Organisationsentwicklung</w:t>
            </w:r>
            <w:r w:rsidR="00761037" w:rsidRPr="00C51926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C51926" w:rsidRPr="002A28C1" w:rsidTr="005E1891">
        <w:tc>
          <w:tcPr>
            <w:tcW w:w="4503" w:type="dxa"/>
          </w:tcPr>
          <w:p w:rsidR="00C51926" w:rsidRPr="005035AF" w:rsidRDefault="00C5192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5035AF"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>
              <w:rPr>
                <w:rFonts w:cstheme="minorHAnsi"/>
                <w:color w:val="0070C0"/>
                <w:sz w:val="18"/>
                <w:szCs w:val="18"/>
              </w:rPr>
              <w:t>erläutern</w:t>
            </w:r>
            <w:r w:rsidRPr="005035AF">
              <w:rPr>
                <w:rFonts w:cstheme="minorHAnsi"/>
                <w:color w:val="0070C0"/>
                <w:sz w:val="18"/>
                <w:szCs w:val="18"/>
              </w:rPr>
              <w:t xml:space="preserve"> Merkmale einer gesundheitskompetenten Organisation und stellen diese an Hand von Beispiel</w:t>
            </w:r>
            <w:r>
              <w:rPr>
                <w:rFonts w:cstheme="minorHAnsi"/>
                <w:color w:val="0070C0"/>
                <w:sz w:val="18"/>
                <w:szCs w:val="18"/>
              </w:rPr>
              <w:t>kriterien</w:t>
            </w:r>
            <w:r w:rsidRPr="005035AF">
              <w:rPr>
                <w:rFonts w:cstheme="minorHAnsi"/>
                <w:color w:val="0070C0"/>
                <w:sz w:val="18"/>
                <w:szCs w:val="18"/>
              </w:rPr>
              <w:t xml:space="preserve"> dar </w:t>
            </w:r>
          </w:p>
        </w:tc>
        <w:tc>
          <w:tcPr>
            <w:tcW w:w="4819" w:type="dxa"/>
          </w:tcPr>
          <w:p w:rsidR="00C51926" w:rsidRDefault="00C51926" w:rsidP="00475CD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A43B5D">
              <w:rPr>
                <w:rFonts w:cstheme="minorHAnsi"/>
                <w:color w:val="0070C0"/>
                <w:sz w:val="18"/>
                <w:szCs w:val="18"/>
              </w:rPr>
              <w:t>Merkmale einer gesundheitskompetenten Organisation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im Gesundheits- und Sozialwesen</w:t>
            </w:r>
          </w:p>
          <w:p w:rsidR="00C51926" w:rsidRDefault="00C51926" w:rsidP="00475CD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Beispiele: Personalentwicklung, hilfreiche Kommunikationsmethoden, Assessments unter dem Gesichtspunkt der Gesundheitskompetenz </w:t>
            </w:r>
            <w:proofErr w:type="spellStart"/>
            <w:r>
              <w:rPr>
                <w:rFonts w:cstheme="minorHAnsi"/>
                <w:color w:val="0070C0"/>
                <w:sz w:val="18"/>
                <w:szCs w:val="18"/>
              </w:rPr>
              <w:t>uva</w:t>
            </w:r>
            <w:proofErr w:type="spellEnd"/>
            <w:r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  <w:p w:rsidR="00C51926" w:rsidRDefault="00C51926" w:rsidP="00C5192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51926" w:rsidRDefault="00C51926" w:rsidP="00475CD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51926" w:rsidRPr="00A43B5D" w:rsidRDefault="00C51926" w:rsidP="00475CD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Ein Werkzeugkasten, in Handlungsbereichen gegliedert, welcher Herausforderungen und vorgeschlagene Maßnahmen darstellt</w:t>
            </w:r>
          </w:p>
        </w:tc>
        <w:tc>
          <w:tcPr>
            <w:tcW w:w="3856" w:type="dxa"/>
          </w:tcPr>
          <w:p w:rsidR="00C51926" w:rsidRPr="00A43B5D" w:rsidRDefault="00C51926" w:rsidP="00475CD4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43B5D">
              <w:rPr>
                <w:rFonts w:cstheme="minorHAnsi"/>
                <w:color w:val="0070C0"/>
                <w:sz w:val="18"/>
                <w:szCs w:val="18"/>
              </w:rPr>
              <w:t>Kickbusch, I. et al (</w:t>
            </w:r>
            <w:proofErr w:type="spellStart"/>
            <w:r w:rsidRPr="00A43B5D">
              <w:rPr>
                <w:rFonts w:cstheme="minorHAnsi"/>
                <w:color w:val="0070C0"/>
                <w:sz w:val="18"/>
                <w:szCs w:val="18"/>
              </w:rPr>
              <w:t>Hg</w:t>
            </w:r>
            <w:proofErr w:type="spellEnd"/>
            <w:r w:rsidRPr="00A43B5D">
              <w:rPr>
                <w:rFonts w:cstheme="minorHAnsi"/>
                <w:color w:val="0070C0"/>
                <w:sz w:val="18"/>
                <w:szCs w:val="18"/>
              </w:rPr>
              <w:t>.) (2016): Gesundheitskompetenz. Die Fakten. Online unter:</w:t>
            </w:r>
          </w:p>
          <w:p w:rsidR="00C51926" w:rsidRDefault="00D67EEE" w:rsidP="00475CD4">
            <w:pPr>
              <w:rPr>
                <w:color w:val="0070C0"/>
                <w:sz w:val="18"/>
                <w:szCs w:val="18"/>
              </w:rPr>
            </w:pPr>
            <w:hyperlink r:id="rId8" w:history="1">
              <w:r w:rsidR="00C51926" w:rsidRPr="00A43B5D">
                <w:rPr>
                  <w:rStyle w:val="Hyperlink"/>
                  <w:sz w:val="18"/>
                  <w:szCs w:val="18"/>
                </w:rPr>
                <w:t>https://www.aok-bv.de/imperia/md/aokbv/gesundheitskompetenz/who_health_literacy_fakten_deutsch.pdf</w:t>
              </w:r>
            </w:hyperlink>
            <w:r w:rsidR="00C51926" w:rsidRPr="00A43B5D">
              <w:rPr>
                <w:color w:val="0070C0"/>
                <w:sz w:val="18"/>
                <w:szCs w:val="18"/>
              </w:rPr>
              <w:t>, S. 38-42</w:t>
            </w:r>
            <w:r w:rsidR="00C51926">
              <w:rPr>
                <w:color w:val="0070C0"/>
                <w:sz w:val="18"/>
                <w:szCs w:val="18"/>
              </w:rPr>
              <w:t xml:space="preserve">; </w:t>
            </w:r>
          </w:p>
          <w:p w:rsidR="00C51926" w:rsidRDefault="00C51926" w:rsidP="00475CD4">
            <w:pPr>
              <w:rPr>
                <w:color w:val="0070C0"/>
                <w:sz w:val="18"/>
                <w:szCs w:val="18"/>
              </w:rPr>
            </w:pPr>
          </w:p>
          <w:p w:rsidR="00C51926" w:rsidRPr="00A43B5D" w:rsidRDefault="00C51926" w:rsidP="00475CD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siehe oben, Seite 59</w:t>
            </w:r>
          </w:p>
        </w:tc>
        <w:tc>
          <w:tcPr>
            <w:tcW w:w="1249" w:type="dxa"/>
            <w:vMerge w:val="restart"/>
          </w:tcPr>
          <w:p w:rsidR="00C51926" w:rsidRPr="00A127A4" w:rsidRDefault="00C51926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127A4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</w:tc>
      </w:tr>
      <w:tr w:rsidR="00C51926" w:rsidRPr="002A28C1" w:rsidTr="005E1891">
        <w:tc>
          <w:tcPr>
            <w:tcW w:w="4503" w:type="dxa"/>
          </w:tcPr>
          <w:p w:rsidR="00C51926" w:rsidRPr="005035AF" w:rsidRDefault="00C5192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erklären das Konzept des Netzwerkes gesundheitsfördernder Krankenhäuser und zeigen den Nutzen für die Gesundheitskompetenzentwicklung der Organisation selbst als auch der Bevölkerung auf</w:t>
            </w:r>
          </w:p>
        </w:tc>
        <w:tc>
          <w:tcPr>
            <w:tcW w:w="4819" w:type="dxa"/>
          </w:tcPr>
          <w:p w:rsidR="00C51926" w:rsidRPr="00A43B5D" w:rsidRDefault="00C51926" w:rsidP="005035AF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Das Konzept des gesundheitsfördernden Krankenhauses als wichtiger Baustein einer gesundheitskompetenten Organisationsentwicklung</w:t>
            </w:r>
          </w:p>
        </w:tc>
        <w:tc>
          <w:tcPr>
            <w:tcW w:w="3856" w:type="dxa"/>
          </w:tcPr>
          <w:p w:rsidR="00C51926" w:rsidRDefault="00C51926" w:rsidP="00D800F0">
            <w:pPr>
              <w:rPr>
                <w:color w:val="0070C0"/>
                <w:sz w:val="18"/>
                <w:szCs w:val="18"/>
              </w:rPr>
            </w:pPr>
            <w:r w:rsidRPr="00A43B5D">
              <w:rPr>
                <w:color w:val="0070C0"/>
                <w:sz w:val="18"/>
                <w:szCs w:val="18"/>
              </w:rPr>
              <w:t>Naidoo, J./ Wills, J. (2019): Lehrbuch Gesundheitsförderung. Deutsche Ausgabe herausgegeben von der Bundeszentrale für gesundheitliche Aufklärung. Bern: Hogrefe</w:t>
            </w:r>
          </w:p>
          <w:p w:rsidR="00C51926" w:rsidRPr="00A127A4" w:rsidRDefault="00C51926" w:rsidP="00D800F0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51926" w:rsidRPr="007D1872" w:rsidRDefault="00C51926" w:rsidP="00596D8A">
            <w:pPr>
              <w:rPr>
                <w:rFonts w:cstheme="minorHAnsi"/>
                <w:color w:val="0070C0"/>
              </w:rPr>
            </w:pPr>
          </w:p>
        </w:tc>
      </w:tr>
      <w:tr w:rsidR="00C51926" w:rsidRPr="002A28C1" w:rsidTr="005E1891">
        <w:tc>
          <w:tcPr>
            <w:tcW w:w="4503" w:type="dxa"/>
          </w:tcPr>
          <w:p w:rsidR="00C51926" w:rsidRPr="00C51926" w:rsidRDefault="00C5192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51926">
              <w:rPr>
                <w:rFonts w:cstheme="minorHAnsi"/>
                <w:color w:val="0070C0"/>
                <w:sz w:val="18"/>
                <w:szCs w:val="18"/>
              </w:rPr>
              <w:t>Die Lernenden stellen ein komplexes Bewertungsinstrument für die Entwicklung einer gesundheitskompetenten Organisation dar</w:t>
            </w:r>
          </w:p>
          <w:p w:rsidR="00C51926" w:rsidRPr="00C51926" w:rsidRDefault="00C5192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51926" w:rsidRPr="00C51926" w:rsidRDefault="00C5192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51926">
              <w:rPr>
                <w:rFonts w:cstheme="minorHAnsi"/>
                <w:color w:val="0070C0"/>
                <w:sz w:val="18"/>
                <w:szCs w:val="18"/>
              </w:rPr>
              <w:t xml:space="preserve">Die Lernenden erklären Rahmenbedingungen und Handlungsbereiche des Wiener Konzeptes </w:t>
            </w:r>
            <w:r w:rsidRPr="00C51926">
              <w:rPr>
                <w:color w:val="0070C0"/>
                <w:sz w:val="18"/>
                <w:szCs w:val="18"/>
              </w:rPr>
              <w:t>Gesundheitskompetenter Krankenbehandlungsorganisationen</w:t>
            </w:r>
          </w:p>
          <w:p w:rsidR="00C51926" w:rsidRPr="00C51926" w:rsidRDefault="00C5192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C51926" w:rsidRPr="00C51926" w:rsidRDefault="00C5192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51926">
              <w:rPr>
                <w:rFonts w:cstheme="minorHAnsi"/>
                <w:color w:val="0070C0"/>
                <w:sz w:val="18"/>
                <w:szCs w:val="18"/>
              </w:rPr>
              <w:t>Die Lernenden vergleichen ein Instrument der gesundheitskompetenten Organisationsentwicklung aus den US - Unity Point He</w:t>
            </w:r>
            <w:r>
              <w:rPr>
                <w:rFonts w:cstheme="minorHAnsi"/>
                <w:color w:val="0070C0"/>
                <w:sz w:val="18"/>
                <w:szCs w:val="18"/>
              </w:rPr>
              <w:t>al</w:t>
            </w:r>
            <w:r w:rsidRPr="00C51926">
              <w:rPr>
                <w:rFonts w:cstheme="minorHAnsi"/>
                <w:color w:val="0070C0"/>
                <w:sz w:val="18"/>
                <w:szCs w:val="18"/>
              </w:rPr>
              <w:t>th, mit dem Wiener Konzept</w:t>
            </w:r>
          </w:p>
          <w:p w:rsidR="00C51926" w:rsidRPr="00C51926" w:rsidRDefault="00C51926" w:rsidP="00AB0905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C51926" w:rsidRPr="00C51926" w:rsidRDefault="00C51926" w:rsidP="00E456B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C51926">
              <w:rPr>
                <w:rFonts w:cstheme="minorHAnsi"/>
                <w:color w:val="0070C0"/>
                <w:sz w:val="18"/>
                <w:szCs w:val="18"/>
              </w:rPr>
              <w:t xml:space="preserve">9 Standards des Wiener Konzeptes </w:t>
            </w:r>
            <w:r w:rsidRPr="00C51926">
              <w:rPr>
                <w:color w:val="0070C0"/>
                <w:sz w:val="18"/>
                <w:szCs w:val="18"/>
              </w:rPr>
              <w:t>Gesundheitskompetenter Krankenbehandlungsorganisationen</w:t>
            </w:r>
          </w:p>
          <w:p w:rsidR="00C51926" w:rsidRPr="00C51926" w:rsidRDefault="00C51926" w:rsidP="00E456B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51926" w:rsidRPr="00C51926" w:rsidRDefault="00C51926" w:rsidP="00E456B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51926" w:rsidRPr="00C51926" w:rsidRDefault="00C51926" w:rsidP="00E456B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51926" w:rsidRPr="00C51926" w:rsidRDefault="00C51926" w:rsidP="00E456B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C51926">
              <w:rPr>
                <w:rFonts w:cstheme="minorHAnsi"/>
                <w:color w:val="0070C0"/>
                <w:sz w:val="18"/>
                <w:szCs w:val="18"/>
              </w:rPr>
              <w:t>Konzept (Rahmenbereiche) und Zielgruppen (Stakeholder) für eine gesundheitskompetente Organisationsentwicklung</w:t>
            </w:r>
          </w:p>
          <w:p w:rsidR="00C51926" w:rsidRPr="00C51926" w:rsidRDefault="00C51926" w:rsidP="00E456B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51926" w:rsidRPr="00C51926" w:rsidRDefault="00C51926" w:rsidP="00E456B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C51926" w:rsidRPr="00C51926" w:rsidRDefault="00C51926" w:rsidP="00E456B6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C51926">
              <w:rPr>
                <w:rFonts w:cstheme="minorHAnsi"/>
                <w:color w:val="0070C0"/>
                <w:sz w:val="18"/>
                <w:szCs w:val="18"/>
              </w:rPr>
              <w:t xml:space="preserve">Gestaltung von Führungsstruktur und Beratungssettings, Qualifizierung des Personals, Repertoire verfügbarer Informationsmaterialien </w:t>
            </w:r>
          </w:p>
        </w:tc>
        <w:tc>
          <w:tcPr>
            <w:tcW w:w="3856" w:type="dxa"/>
          </w:tcPr>
          <w:p w:rsidR="00C51926" w:rsidRPr="00C51926" w:rsidRDefault="00C51926" w:rsidP="00A43B5D">
            <w:pPr>
              <w:rPr>
                <w:color w:val="0070C0"/>
                <w:sz w:val="18"/>
                <w:szCs w:val="18"/>
              </w:rPr>
            </w:pPr>
            <w:proofErr w:type="spellStart"/>
            <w:r w:rsidRPr="00C51926">
              <w:rPr>
                <w:color w:val="0070C0"/>
                <w:sz w:val="18"/>
                <w:szCs w:val="18"/>
              </w:rPr>
              <w:t>Dietscher</w:t>
            </w:r>
            <w:proofErr w:type="spellEnd"/>
            <w:r w:rsidRPr="00C51926">
              <w:rPr>
                <w:color w:val="0070C0"/>
                <w:sz w:val="18"/>
                <w:szCs w:val="18"/>
              </w:rPr>
              <w:t>, C./</w:t>
            </w:r>
            <w:proofErr w:type="spellStart"/>
            <w:r w:rsidRPr="00C51926">
              <w:rPr>
                <w:color w:val="0070C0"/>
                <w:sz w:val="18"/>
                <w:szCs w:val="18"/>
              </w:rPr>
              <w:t>Lorenc</w:t>
            </w:r>
            <w:proofErr w:type="spellEnd"/>
            <w:r w:rsidRPr="00C51926">
              <w:rPr>
                <w:color w:val="0070C0"/>
                <w:sz w:val="18"/>
                <w:szCs w:val="18"/>
              </w:rPr>
              <w:t>, J./Pelikan, J. (2015): Pilottestung zum „Selbstbewertungsinstrument für die organisationale Gesundheitskompetenz von Krankenhäusern“ gemäß dem Wiener Konzept Gesundheitskompetenter Krankenbehandlungsorganisationen LBIHPR Forschungsbericht</w:t>
            </w:r>
          </w:p>
          <w:p w:rsidR="00C51926" w:rsidRPr="00C51926" w:rsidRDefault="00C51926" w:rsidP="00A43B5D">
            <w:pPr>
              <w:rPr>
                <w:color w:val="0070C0"/>
                <w:sz w:val="18"/>
                <w:szCs w:val="18"/>
              </w:rPr>
            </w:pPr>
          </w:p>
          <w:p w:rsidR="00C51926" w:rsidRPr="00C51926" w:rsidRDefault="00C51926" w:rsidP="00A43B5D">
            <w:pPr>
              <w:rPr>
                <w:color w:val="0070C0"/>
                <w:sz w:val="18"/>
                <w:szCs w:val="18"/>
              </w:rPr>
            </w:pPr>
          </w:p>
          <w:p w:rsidR="00C51926" w:rsidRPr="00C51926" w:rsidRDefault="00C51926" w:rsidP="00A43B5D">
            <w:pPr>
              <w:rPr>
                <w:color w:val="0070C0"/>
                <w:sz w:val="18"/>
                <w:szCs w:val="18"/>
              </w:rPr>
            </w:pPr>
            <w:r w:rsidRPr="00C51926">
              <w:rPr>
                <w:color w:val="0070C0"/>
                <w:sz w:val="18"/>
                <w:szCs w:val="18"/>
              </w:rPr>
              <w:t xml:space="preserve">Unity Point Health (2014): Building </w:t>
            </w:r>
            <w:proofErr w:type="spellStart"/>
            <w:r w:rsidRPr="00C51926">
              <w:rPr>
                <w:color w:val="0070C0"/>
                <w:sz w:val="18"/>
                <w:szCs w:val="18"/>
              </w:rPr>
              <w:t>health</w:t>
            </w:r>
            <w:proofErr w:type="spellEnd"/>
            <w:r w:rsidRPr="00C51926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C51926">
              <w:rPr>
                <w:color w:val="0070C0"/>
                <w:sz w:val="18"/>
                <w:szCs w:val="18"/>
              </w:rPr>
              <w:t>literate</w:t>
            </w:r>
            <w:proofErr w:type="spellEnd"/>
            <w:r w:rsidRPr="00C51926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C51926">
              <w:rPr>
                <w:color w:val="0070C0"/>
                <w:sz w:val="18"/>
                <w:szCs w:val="18"/>
              </w:rPr>
              <w:t>organizations</w:t>
            </w:r>
            <w:proofErr w:type="spellEnd"/>
            <w:r w:rsidRPr="00C51926">
              <w:rPr>
                <w:color w:val="0070C0"/>
                <w:sz w:val="18"/>
                <w:szCs w:val="18"/>
              </w:rPr>
              <w:t xml:space="preserve">. A </w:t>
            </w:r>
            <w:proofErr w:type="spellStart"/>
            <w:r w:rsidRPr="00C51926">
              <w:rPr>
                <w:color w:val="0070C0"/>
                <w:sz w:val="18"/>
                <w:szCs w:val="18"/>
              </w:rPr>
              <w:t>Guidebook</w:t>
            </w:r>
            <w:proofErr w:type="spellEnd"/>
            <w:r w:rsidRPr="00C51926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C51926">
              <w:rPr>
                <w:color w:val="0070C0"/>
                <w:sz w:val="18"/>
                <w:szCs w:val="18"/>
              </w:rPr>
              <w:t>to</w:t>
            </w:r>
            <w:proofErr w:type="spellEnd"/>
            <w:r w:rsidRPr="00C51926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C51926">
              <w:rPr>
                <w:color w:val="0070C0"/>
                <w:sz w:val="18"/>
                <w:szCs w:val="18"/>
              </w:rPr>
              <w:t>Achieving</w:t>
            </w:r>
            <w:proofErr w:type="spellEnd"/>
            <w:r w:rsidRPr="00C51926">
              <w:rPr>
                <w:color w:val="0070C0"/>
                <w:sz w:val="18"/>
                <w:szCs w:val="18"/>
              </w:rPr>
              <w:t xml:space="preserve"> Organizational Change, Ivona USA, Online unter: </w:t>
            </w:r>
            <w:hyperlink r:id="rId9" w:history="1">
              <w:r w:rsidRPr="00C51926">
                <w:rPr>
                  <w:rStyle w:val="Hyperlink"/>
                  <w:color w:val="0070C0"/>
                  <w:sz w:val="18"/>
                  <w:szCs w:val="18"/>
                </w:rPr>
                <w:t>https://www.unitypoint.org/filesimages/Literacy/Health%20Literacy%20Guidebook.pdf</w:t>
              </w:r>
            </w:hyperlink>
          </w:p>
          <w:p w:rsidR="00C51926" w:rsidRPr="00C51926" w:rsidRDefault="00C51926" w:rsidP="00A43B5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C51926" w:rsidRPr="007D1872" w:rsidRDefault="00C51926" w:rsidP="00596D8A">
            <w:pPr>
              <w:rPr>
                <w:rFonts w:cstheme="minorHAnsi"/>
                <w:color w:val="0070C0"/>
              </w:rPr>
            </w:pPr>
          </w:p>
        </w:tc>
      </w:tr>
    </w:tbl>
    <w:p w:rsidR="002B2823" w:rsidRDefault="002B2823" w:rsidP="002B2823"/>
    <w:sectPr w:rsidR="002B2823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EEE" w:rsidRDefault="00D67EEE" w:rsidP="002C78E9">
      <w:pPr>
        <w:spacing w:after="0" w:line="240" w:lineRule="auto"/>
      </w:pPr>
      <w:r>
        <w:separator/>
      </w:r>
    </w:p>
  </w:endnote>
  <w:endnote w:type="continuationSeparator" w:id="0">
    <w:p w:rsidR="00D67EEE" w:rsidRDefault="00D67EEE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F0" w:rsidRDefault="007B5B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81" w:rsidRDefault="00567581" w:rsidP="00567581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7B5BF0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F0" w:rsidRDefault="007B5B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EEE" w:rsidRDefault="00D67EEE" w:rsidP="002C78E9">
      <w:pPr>
        <w:spacing w:after="0" w:line="240" w:lineRule="auto"/>
      </w:pPr>
      <w:r>
        <w:separator/>
      </w:r>
    </w:p>
  </w:footnote>
  <w:footnote w:type="continuationSeparator" w:id="0">
    <w:p w:rsidR="00D67EEE" w:rsidRDefault="00D67EEE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F0" w:rsidRDefault="007B5B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BF0" w:rsidRDefault="007B5B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3079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6315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6A00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274D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2CA4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2BE6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56B63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035AF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67581"/>
    <w:rsid w:val="00570758"/>
    <w:rsid w:val="005764EC"/>
    <w:rsid w:val="00576678"/>
    <w:rsid w:val="00576E3C"/>
    <w:rsid w:val="0058017A"/>
    <w:rsid w:val="00587FFA"/>
    <w:rsid w:val="00590348"/>
    <w:rsid w:val="00590EC7"/>
    <w:rsid w:val="0059341D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17E0D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5BF0"/>
    <w:rsid w:val="007B654A"/>
    <w:rsid w:val="007C1417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9FC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27A4"/>
    <w:rsid w:val="00A1309F"/>
    <w:rsid w:val="00A13588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0D34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2C7D"/>
    <w:rsid w:val="00C436DF"/>
    <w:rsid w:val="00C46274"/>
    <w:rsid w:val="00C51926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76646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67EE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456B6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03CF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0F59"/>
    <w:rsid w:val="00F91E6F"/>
    <w:rsid w:val="00F954C0"/>
    <w:rsid w:val="00F95CFA"/>
    <w:rsid w:val="00F969EA"/>
    <w:rsid w:val="00F96BD1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0C5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k-bv.de/imperia/md/aokbv/gesundheitskompetenz/who_health_literacy_fakten_deutsch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typoint.org/filesimages/Literacy/Health%20Literacy%20Guidebook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71BB-4E4E-4559-8F3C-446E285D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53</cp:revision>
  <cp:lastPrinted>2018-12-04T14:42:00Z</cp:lastPrinted>
  <dcterms:created xsi:type="dcterms:W3CDTF">2019-08-12T10:24:00Z</dcterms:created>
  <dcterms:modified xsi:type="dcterms:W3CDTF">2019-11-21T06:26:00Z</dcterms:modified>
</cp:coreProperties>
</file>