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C7753A">
        <w:rPr>
          <w:color w:val="4F81BD" w:themeColor="accent1"/>
          <w:sz w:val="28"/>
          <w:szCs w:val="28"/>
        </w:rPr>
        <w:t>0</w:t>
      </w:r>
      <w:r w:rsidR="0054195A">
        <w:rPr>
          <w:color w:val="4F81BD" w:themeColor="accent1"/>
          <w:sz w:val="28"/>
          <w:szCs w:val="28"/>
        </w:rPr>
        <w:t>4 Kommunikation und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C5377C">
              <w:rPr>
                <w:b/>
                <w:color w:val="4F81BD" w:themeColor="accent1"/>
              </w:rPr>
              <w:t>„</w:t>
            </w:r>
            <w:r w:rsidR="00926D2B">
              <w:rPr>
                <w:b/>
                <w:color w:val="4F81BD" w:themeColor="accent1"/>
              </w:rPr>
              <w:t xml:space="preserve">Erkennen einer eingeschränkten Gesundheitskompetenz – </w:t>
            </w:r>
            <w:proofErr w:type="spellStart"/>
            <w:r w:rsidR="00926D2B">
              <w:rPr>
                <w:b/>
                <w:color w:val="4F81BD" w:themeColor="accent1"/>
              </w:rPr>
              <w:t>Red</w:t>
            </w:r>
            <w:proofErr w:type="spellEnd"/>
            <w:r w:rsidR="00926D2B">
              <w:rPr>
                <w:b/>
                <w:color w:val="4F81BD" w:themeColor="accent1"/>
              </w:rPr>
              <w:t xml:space="preserve"> Flags</w:t>
            </w:r>
            <w:r w:rsidR="00C5377C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C7753A" w:rsidTr="00761037">
        <w:tc>
          <w:tcPr>
            <w:tcW w:w="4503" w:type="dxa"/>
          </w:tcPr>
          <w:p w:rsidR="00D44E8C" w:rsidRPr="00C5377C" w:rsidRDefault="001B6DC1" w:rsidP="00C5377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D44E8C" w:rsidRPr="00C5377C">
              <w:rPr>
                <w:rFonts w:cstheme="minorHAnsi"/>
                <w:color w:val="0070C0"/>
                <w:sz w:val="18"/>
                <w:szCs w:val="18"/>
              </w:rPr>
              <w:t>erkennen / identifizieren Menschen mit eingeschränkter Gesundheitskompetenz</w:t>
            </w:r>
          </w:p>
          <w:p w:rsidR="00D44E8C" w:rsidRPr="00C5377C" w:rsidRDefault="00D44E8C" w:rsidP="00926D2B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1B6DC1" w:rsidRPr="00C5377C" w:rsidRDefault="00AB5253" w:rsidP="00C5377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</w:rPr>
              <w:t xml:space="preserve">Die Lernenden beschreiben </w:t>
            </w:r>
            <w:r w:rsidR="00926D2B" w:rsidRPr="00C5377C">
              <w:rPr>
                <w:rFonts w:cstheme="minorHAnsi"/>
                <w:color w:val="0070C0"/>
                <w:sz w:val="18"/>
                <w:szCs w:val="18"/>
              </w:rPr>
              <w:t>Hinweise um Menschen mit geringer Gesundheitskompetenz in der Beratungspraxis wahrzunehmen</w:t>
            </w:r>
          </w:p>
          <w:p w:rsidR="007A1ECE" w:rsidRPr="00C5377C" w:rsidRDefault="007A1ECE" w:rsidP="007A1ECE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7A1ECE" w:rsidRPr="00C5377C" w:rsidRDefault="007A1ECE" w:rsidP="007A1ECE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1B6DC1" w:rsidRPr="00C5377C" w:rsidRDefault="001B6DC1" w:rsidP="001B6DC1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C5377C" w:rsidRDefault="00C7753A" w:rsidP="00926D2B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D44E8C" w:rsidRPr="00C5377C" w:rsidRDefault="00D44E8C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</w:rPr>
              <w:t>Assessmentinstrumente</w:t>
            </w:r>
            <w:r w:rsidR="001A7B88" w:rsidRPr="00C5377C">
              <w:rPr>
                <w:rFonts w:cstheme="minorHAnsi"/>
                <w:color w:val="0070C0"/>
                <w:sz w:val="18"/>
                <w:szCs w:val="18"/>
              </w:rPr>
              <w:t xml:space="preserve"> zum Lernbedarf</w:t>
            </w:r>
          </w:p>
          <w:p w:rsidR="00D44E8C" w:rsidRPr="00C5377C" w:rsidRDefault="00D44E8C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44E8C" w:rsidRPr="00C5377C" w:rsidRDefault="00D44E8C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44E8C" w:rsidRPr="00C5377C" w:rsidRDefault="00D44E8C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B6DC1" w:rsidRPr="00C5377C" w:rsidRDefault="00926D2B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5377C">
              <w:rPr>
                <w:rFonts w:cstheme="minorHAnsi"/>
                <w:color w:val="0070C0"/>
                <w:sz w:val="18"/>
                <w:szCs w:val="18"/>
              </w:rPr>
              <w:t>Red</w:t>
            </w:r>
            <w:proofErr w:type="spellEnd"/>
            <w:r w:rsidRPr="00C5377C">
              <w:rPr>
                <w:rFonts w:cstheme="minorHAnsi"/>
                <w:color w:val="0070C0"/>
                <w:sz w:val="18"/>
                <w:szCs w:val="18"/>
              </w:rPr>
              <w:t xml:space="preserve"> Flags (z. B. Angehörige oder Bekannte begleiten Rastsuchende in die Beratung und übernehmen das Lesen und Ausfüllen von Formularen, Termine werden von Betroffenen gar nicht oder zur falschen Zeit wahrgenommen)</w:t>
            </w:r>
          </w:p>
          <w:p w:rsidR="00D44E8C" w:rsidRPr="00C5377C" w:rsidRDefault="00D44E8C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A1ECE" w:rsidRPr="00C5377C" w:rsidRDefault="007A1ECE" w:rsidP="007A1EC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44E8C" w:rsidRPr="00C5377C" w:rsidRDefault="00D44E8C" w:rsidP="00D44E8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</w:rPr>
              <w:t>London, F. (2010)</w:t>
            </w:r>
            <w:r w:rsidR="00AB7C9C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Pr="00C5377C">
              <w:rPr>
                <w:rFonts w:cstheme="minorHAnsi"/>
                <w:i/>
                <w:color w:val="0070C0"/>
                <w:sz w:val="18"/>
                <w:szCs w:val="18"/>
              </w:rPr>
              <w:t>Informieren, Schulen, Beraten: Praxishandbuch zur Patientenedukation,</w:t>
            </w:r>
            <w:r w:rsidRPr="00C5377C">
              <w:rPr>
                <w:rFonts w:cstheme="minorHAnsi"/>
                <w:color w:val="0070C0"/>
                <w:sz w:val="18"/>
                <w:szCs w:val="18"/>
              </w:rPr>
              <w:t xml:space="preserve"> Bern: Huber.</w:t>
            </w:r>
          </w:p>
          <w:p w:rsidR="00D44E8C" w:rsidRPr="00C5377C" w:rsidRDefault="00D44E8C" w:rsidP="00D44E8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26D2B" w:rsidRPr="00C5377C" w:rsidRDefault="00926D2B" w:rsidP="00D44E8C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  <w:lang w:val="en-US"/>
              </w:rPr>
              <w:t>Osborne, H. (2013)</w:t>
            </w:r>
            <w:r w:rsidR="00AB7C9C">
              <w:rPr>
                <w:rFonts w:cstheme="minorHAnsi"/>
                <w:color w:val="0070C0"/>
                <w:sz w:val="18"/>
                <w:szCs w:val="18"/>
                <w:lang w:val="en-US"/>
              </w:rPr>
              <w:t>:</w:t>
            </w:r>
            <w:r w:rsidRPr="00C5377C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r w:rsidRPr="00C5377C">
              <w:rPr>
                <w:rFonts w:cstheme="minorHAnsi"/>
                <w:i/>
                <w:color w:val="0070C0"/>
                <w:sz w:val="18"/>
                <w:szCs w:val="18"/>
                <w:lang w:val="en-US"/>
              </w:rPr>
              <w:t>Health literacy from A to Z. Practical Ways to Communicate Your Health Message.</w:t>
            </w:r>
            <w:r w:rsidRPr="00C5377C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r w:rsidRPr="00C5377C">
              <w:rPr>
                <w:rFonts w:cstheme="minorHAnsi"/>
                <w:color w:val="0070C0"/>
                <w:sz w:val="18"/>
                <w:szCs w:val="18"/>
                <w:lang w:val="de-AT"/>
              </w:rPr>
              <w:t>Burlington: Jones Bartlett Learning.</w:t>
            </w:r>
          </w:p>
          <w:p w:rsidR="00AF7CDB" w:rsidRPr="00C5377C" w:rsidRDefault="00AF7CDB" w:rsidP="00D44E8C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AF7CDB" w:rsidRPr="00C5377C" w:rsidRDefault="00AF7CDB" w:rsidP="00AF7CDB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proofErr w:type="spellStart"/>
            <w:r w:rsidRPr="00C5377C">
              <w:rPr>
                <w:rFonts w:cstheme="minorHAnsi"/>
                <w:color w:val="0070C0"/>
                <w:sz w:val="18"/>
                <w:szCs w:val="18"/>
              </w:rPr>
              <w:t>Plessl</w:t>
            </w:r>
            <w:proofErr w:type="spellEnd"/>
            <w:r w:rsidRPr="00C5377C">
              <w:rPr>
                <w:rFonts w:cstheme="minorHAnsi"/>
                <w:color w:val="0070C0"/>
                <w:sz w:val="18"/>
                <w:szCs w:val="18"/>
              </w:rPr>
              <w:t>-Schorn (</w:t>
            </w:r>
            <w:proofErr w:type="spellStart"/>
            <w:r w:rsidRPr="00C5377C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C5377C">
              <w:rPr>
                <w:rFonts w:cstheme="minorHAnsi"/>
                <w:color w:val="0070C0"/>
                <w:sz w:val="18"/>
                <w:szCs w:val="18"/>
              </w:rPr>
              <w:t>.) (2014)</w:t>
            </w:r>
            <w:r w:rsidR="00AB7C9C">
              <w:rPr>
                <w:rFonts w:cstheme="minorHAnsi"/>
                <w:color w:val="0070C0"/>
                <w:sz w:val="18"/>
                <w:szCs w:val="18"/>
              </w:rPr>
              <w:t>:</w:t>
            </w:r>
            <w:r w:rsidRPr="00C5377C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C5377C">
              <w:rPr>
                <w:rFonts w:cstheme="minorHAnsi"/>
                <w:i/>
                <w:color w:val="0070C0"/>
                <w:sz w:val="18"/>
                <w:szCs w:val="18"/>
              </w:rPr>
              <w:t>Patienten- und Angehörigenedukation Aufgaben für Ausbildung und Praxis.</w:t>
            </w:r>
            <w:r w:rsidRPr="00C5377C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C5377C">
              <w:rPr>
                <w:rFonts w:cstheme="minorHAnsi"/>
                <w:color w:val="0070C0"/>
                <w:sz w:val="18"/>
                <w:szCs w:val="18"/>
                <w:lang w:val="de-AT"/>
              </w:rPr>
              <w:t>Wien: Facultas.</w:t>
            </w:r>
          </w:p>
          <w:p w:rsidR="00926D2B" w:rsidRPr="00C5377C" w:rsidRDefault="00926D2B" w:rsidP="00D44E8C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1A7B88" w:rsidRPr="00C5377C" w:rsidRDefault="001A7B88" w:rsidP="00D44E8C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  <w:lang w:val="de-AT"/>
              </w:rPr>
              <w:t>Schmidt-</w:t>
            </w:r>
            <w:proofErr w:type="spellStart"/>
            <w:r w:rsidRPr="00C5377C">
              <w:rPr>
                <w:rFonts w:cstheme="minorHAnsi"/>
                <w:color w:val="0070C0"/>
                <w:sz w:val="18"/>
                <w:szCs w:val="18"/>
                <w:lang w:val="de-AT"/>
              </w:rPr>
              <w:t>Kaehler</w:t>
            </w:r>
            <w:proofErr w:type="spellEnd"/>
            <w:r w:rsidRPr="00C5377C">
              <w:rPr>
                <w:rFonts w:cstheme="minorHAnsi"/>
                <w:color w:val="0070C0"/>
                <w:sz w:val="18"/>
                <w:szCs w:val="18"/>
                <w:lang w:val="de-AT"/>
              </w:rPr>
              <w:t>, S. et al. (2017)</w:t>
            </w:r>
            <w:r w:rsidR="00AB7C9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C5377C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Gesundheitskompetenz verständlich informieren und beraten,</w:t>
            </w:r>
            <w:r w:rsidRPr="00C5377C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Universität Bielefeld, Fakultät für Gesundheitswissenschaften. </w:t>
            </w:r>
          </w:p>
          <w:p w:rsidR="00C7753A" w:rsidRPr="00C5377C" w:rsidRDefault="00C7753A" w:rsidP="00EE465D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561" w:type="dxa"/>
          </w:tcPr>
          <w:p w:rsidR="00BF40F5" w:rsidRPr="00C5377C" w:rsidRDefault="00965ADC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377C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</w:tbl>
    <w:p w:rsidR="002B2823" w:rsidRDefault="002B2823" w:rsidP="00C5377C">
      <w:pPr>
        <w:pStyle w:val="Listenabsatz"/>
      </w:pPr>
    </w:p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84" w:rsidRDefault="00961184" w:rsidP="002C78E9">
      <w:pPr>
        <w:spacing w:after="0" w:line="240" w:lineRule="auto"/>
      </w:pPr>
      <w:r>
        <w:separator/>
      </w:r>
    </w:p>
  </w:endnote>
  <w:endnote w:type="continuationSeparator" w:id="0">
    <w:p w:rsidR="00961184" w:rsidRDefault="00961184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4E" w:rsidRDefault="003875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4E" w:rsidRPr="00920510" w:rsidRDefault="0038754E" w:rsidP="0038754E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>
      <w:rPr>
        <w:i/>
        <w:color w:val="808080" w:themeColor="background1" w:themeShade="80"/>
        <w:sz w:val="18"/>
        <w:szCs w:val="18"/>
      </w:rPr>
      <w:t xml:space="preserve">Endstand 22.08.2019 </w:t>
    </w:r>
  </w:p>
  <w:bookmarkEnd w:id="0"/>
  <w:p w:rsidR="002C78E9" w:rsidRPr="00C5377C" w:rsidRDefault="002C78E9" w:rsidP="00C537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4E" w:rsidRDefault="003875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84" w:rsidRDefault="00961184" w:rsidP="002C78E9">
      <w:pPr>
        <w:spacing w:after="0" w:line="240" w:lineRule="auto"/>
      </w:pPr>
      <w:r>
        <w:separator/>
      </w:r>
    </w:p>
  </w:footnote>
  <w:footnote w:type="continuationSeparator" w:id="0">
    <w:p w:rsidR="00961184" w:rsidRDefault="00961184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4E" w:rsidRDefault="003875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4E" w:rsidRDefault="003875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24"/>
    <w:multiLevelType w:val="hybridMultilevel"/>
    <w:tmpl w:val="E5D60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B88"/>
    <w:rsid w:val="001A7F6D"/>
    <w:rsid w:val="001B1207"/>
    <w:rsid w:val="001B1288"/>
    <w:rsid w:val="001B41E0"/>
    <w:rsid w:val="001B4AA0"/>
    <w:rsid w:val="001B6A4F"/>
    <w:rsid w:val="001B6C79"/>
    <w:rsid w:val="001B6DC1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6B3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8754E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195A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4DA4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0EA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1ECE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061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26D2B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1184"/>
    <w:rsid w:val="009631E1"/>
    <w:rsid w:val="0096381B"/>
    <w:rsid w:val="00963C3B"/>
    <w:rsid w:val="00965437"/>
    <w:rsid w:val="00965ADC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253"/>
    <w:rsid w:val="00AB759E"/>
    <w:rsid w:val="00AB78BA"/>
    <w:rsid w:val="00AB7C9C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AF7CD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0F5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1380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377C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53A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4E8C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465D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374A"/>
    <w:rsid w:val="00F546A7"/>
    <w:rsid w:val="00F55012"/>
    <w:rsid w:val="00F569AD"/>
    <w:rsid w:val="00F66796"/>
    <w:rsid w:val="00F67346"/>
    <w:rsid w:val="00F71A18"/>
    <w:rsid w:val="00F71E93"/>
    <w:rsid w:val="00F72827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5F65"/>
  <w15:docId w15:val="{E50253DA-27DF-41D4-8F33-FDABF7C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7F67-AA13-4633-B5DA-5340F495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7</cp:revision>
  <cp:lastPrinted>2018-12-04T14:42:00Z</cp:lastPrinted>
  <dcterms:created xsi:type="dcterms:W3CDTF">2019-08-12T10:16:00Z</dcterms:created>
  <dcterms:modified xsi:type="dcterms:W3CDTF">2019-11-21T06:34:00Z</dcterms:modified>
</cp:coreProperties>
</file>