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63434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3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63434E">
        <w:rPr>
          <w:rFonts w:ascii="Calibri" w:eastAsia="Calibri" w:hAnsi="Calibri" w:cs="Times New Roman"/>
          <w:color w:val="4F81BD" w:themeColor="accent1"/>
          <w:sz w:val="28"/>
          <w:szCs w:val="28"/>
        </w:rPr>
        <w:t>Selbstsorge, Selbstwahrnehmung, Selbstbestimmung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8229EE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0320A" w:rsidRDefault="002244AD" w:rsidP="00270F07">
            <w:pPr>
              <w:rPr>
                <w:b/>
                <w:color w:val="4F81BD" w:themeColor="accent1"/>
              </w:rPr>
            </w:pPr>
            <w:r w:rsidRPr="008229EE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C0320A">
              <w:rPr>
                <w:b/>
                <w:color w:val="4F81BD" w:themeColor="accent1"/>
              </w:rPr>
              <w:t>„</w:t>
            </w:r>
            <w:r w:rsidR="00C0320A">
              <w:rPr>
                <w:b/>
                <w:color w:val="4F81BD" w:themeColor="accent1"/>
              </w:rPr>
              <w:t>K</w:t>
            </w:r>
            <w:r w:rsidR="0063434E" w:rsidRPr="00C0320A">
              <w:rPr>
                <w:b/>
                <w:color w:val="4F81BD" w:themeColor="accent1"/>
              </w:rPr>
              <w:t>ognitive Gesundheitsbezogene Grundfertigkeiten: Zugang, Verstehen, Bewerten und Anwenden von Gesundheitsinformationen</w:t>
            </w:r>
            <w:r w:rsidR="00761037" w:rsidRPr="00C0320A">
              <w:rPr>
                <w:b/>
                <w:color w:val="4F81BD" w:themeColor="accent1"/>
              </w:rPr>
              <w:t>“</w:t>
            </w:r>
          </w:p>
          <w:p w:rsidR="002244AD" w:rsidRPr="008229EE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8229EE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8229EE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8229EE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8229EE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8229EE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8229EE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8229EE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5B1EE6" w:rsidRPr="00D800F0" w:rsidTr="00761037">
        <w:tc>
          <w:tcPr>
            <w:tcW w:w="4503" w:type="dxa"/>
          </w:tcPr>
          <w:p w:rsidR="005B1EE6" w:rsidRPr="008229EE" w:rsidRDefault="005B1EE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229EE">
              <w:rPr>
                <w:rFonts w:cstheme="minorHAnsi"/>
                <w:color w:val="0070C0"/>
                <w:sz w:val="18"/>
                <w:szCs w:val="18"/>
              </w:rPr>
              <w:t>Die Lernenden zeigen beispielhaft auf, wie gesunde als auch chronisch kranke Personen aktualisierte Gesundheitsinformationen an Hand von Adressen und Weblinks finden</w:t>
            </w:r>
          </w:p>
        </w:tc>
        <w:tc>
          <w:tcPr>
            <w:tcW w:w="4819" w:type="dxa"/>
          </w:tcPr>
          <w:p w:rsidR="005B1EE6" w:rsidRPr="005775D9" w:rsidRDefault="005B1EE6" w:rsidP="005775D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Hilfreiche Gesundheitsinformationen für chronisch kranke Menschen</w:t>
            </w:r>
          </w:p>
          <w:p w:rsidR="005B1EE6" w:rsidRPr="005775D9" w:rsidRDefault="005B1EE6" w:rsidP="006879D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6879D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6879D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Länderspezifische, laufend aktualisierte Adressen und Weblinks der Fachredaktion Careum zu fünf Kategorien, z.B. Ernährung und Bewegung, Organisationen und Verbände. </w:t>
            </w: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5775D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5775D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5775D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3B19D9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Quellen für verlässliche Gesundheitsinformationen</w:t>
            </w:r>
          </w:p>
        </w:tc>
        <w:tc>
          <w:tcPr>
            <w:tcW w:w="3544" w:type="dxa"/>
          </w:tcPr>
          <w:p w:rsidR="005B1EE6" w:rsidRPr="005775D9" w:rsidRDefault="005B1EE6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Haslbeck, J/ Kickbusch, I. (Hg.) (2015): Gesund und aktiv mit chronischer Krankheit leben. Bern: Careum Verlag</w:t>
            </w:r>
          </w:p>
          <w:p w:rsidR="005B1EE6" w:rsidRPr="005775D9" w:rsidRDefault="005B1EE6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Careum, Fachredaktion Kompetenzzentrum Patientenbildung (2015): Gesund und aktiv mit chronischer Krankheit leben. </w:t>
            </w:r>
            <w:r w:rsidRPr="005775D9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Serviceteil Österreich,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 Online unter: </w:t>
            </w:r>
            <w:hyperlink r:id="rId8" w:history="1">
              <w:r w:rsidRPr="005775D9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https://www.careum.ch/documents/20181//109503//Serviceteil+%C3%96sterreich</w:t>
              </w:r>
            </w:hyperlink>
          </w:p>
          <w:p w:rsidR="005B1EE6" w:rsidRPr="005775D9" w:rsidRDefault="005B1EE6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8160B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AWMF Online (Arbeitsgemeinschaft der wissenschaftlichen medizinischen Fachgesellschaft) (2019): Portal der wissenschaftlichen Medizin. Leitlinien / Information für Patienten, Online unter:</w:t>
            </w:r>
          </w:p>
          <w:p w:rsidR="005B1EE6" w:rsidRPr="005775D9" w:rsidRDefault="0000373B" w:rsidP="008160B2">
            <w:pPr>
              <w:rPr>
                <w:rFonts w:cstheme="minorHAnsi"/>
                <w:color w:val="0070C0"/>
                <w:sz w:val="18"/>
                <w:szCs w:val="18"/>
              </w:rPr>
            </w:pPr>
            <w:hyperlink r:id="rId9" w:history="1">
              <w:r w:rsidR="005B1EE6" w:rsidRPr="005775D9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https://www.awmf.org/leitlinien/patienteninformation.html</w:t>
              </w:r>
            </w:hyperlink>
          </w:p>
          <w:p w:rsidR="005B1EE6" w:rsidRPr="005775D9" w:rsidRDefault="005B1EE6" w:rsidP="008160B2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8160B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Gigerenzer, G. (2014): Risiko. Wie man die richtigen Entscheidungen trifft. München: btb Verlag </w:t>
            </w:r>
          </w:p>
          <w:p w:rsidR="005B1EE6" w:rsidRPr="005775D9" w:rsidRDefault="005B1EE6" w:rsidP="008160B2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5B1EE6" w:rsidRPr="00412CE6" w:rsidRDefault="005B1EE6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12CE6"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</w:tc>
      </w:tr>
      <w:tr w:rsidR="005B1EE6" w:rsidTr="00B209B4">
        <w:tc>
          <w:tcPr>
            <w:tcW w:w="4503" w:type="dxa"/>
          </w:tcPr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Die Lernenden nennen Handlungsempfehlungen, welche das Zusammenspiel der von (kranken) Personen am meisten genutzten Informationsquellen, wie Arzt/Ärztin und Internet, verbessern</w:t>
            </w: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64797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lastRenderedPageBreak/>
              <w:t>Die Lernenden zeigen Einflussfaktoren auf, welche das Gesundheitsinformationsverhalten von interessierten Personen maßgeblich beeinflussen</w:t>
            </w:r>
          </w:p>
        </w:tc>
        <w:tc>
          <w:tcPr>
            <w:tcW w:w="4819" w:type="dxa"/>
          </w:tcPr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lastRenderedPageBreak/>
              <w:t>Handlungsempfehlungen zur Nutzung von Informationsquellen aus dem Netz, sowie der ärztlichen Information (siehe auch Lernfeld 04: Qualitätssicherung: Gute Praxis Gesundheitsinformation)</w:t>
            </w: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>D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>eterminanten zur Gesundheitsinformationssuche</w:t>
            </w:r>
          </w:p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z.B. Umfeld – und Kontextfaktoren, individuelle sozioökonomische Faktoren u.a.</w:t>
            </w:r>
          </w:p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lastRenderedPageBreak/>
              <w:t>Haschke, C. et al (2018): Gesundheitsinfos. Daten, Analysen, Perspektiven Nr.2. Impulspapier des Programms „Versorgung verbessern – Patienten informieren“. Bertelsmann Stiftung, Gütersloh</w:t>
            </w: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lastRenderedPageBreak/>
              <w:t>Rossmann, C. et al (2018): Nutzung und Verbreitung von Gesundheitsinformationen. Ein Literaturüberblick zu theoretischen Ansätzen und empirischen Befunden. Impulspapier des Programms „Versorgung verbessern – Patienten informieren“. Bertelsmann Stiftung, Gütersloh</w:t>
            </w:r>
          </w:p>
          <w:p w:rsidR="005B1EE6" w:rsidRPr="005775D9" w:rsidRDefault="005B1EE6" w:rsidP="00B209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B1EE6" w:rsidRDefault="005B1EE6" w:rsidP="00B209B4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  <w:tr w:rsidR="005B1EE6" w:rsidTr="00761037">
        <w:tc>
          <w:tcPr>
            <w:tcW w:w="4503" w:type="dxa"/>
          </w:tcPr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Die Lernenden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nennen bestehende Hindernisse eines freien Zugangs zu evidenzbasierten Gesundheitsinformationen</w:t>
            </w: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 schätzen Testergebnisse und das resultierende Krankheitsrisiko korrekt ein</w:t>
            </w:r>
          </w:p>
        </w:tc>
        <w:tc>
          <w:tcPr>
            <w:tcW w:w="4819" w:type="dxa"/>
          </w:tcPr>
          <w:p w:rsidR="005B1EE6" w:rsidRPr="005775D9" w:rsidRDefault="005B1EE6" w:rsidP="00DB30B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Der freie Zugang zu Informationen und wie man Testergebnisse verstehen lernt </w:t>
            </w:r>
          </w:p>
          <w:p w:rsidR="005B1EE6" w:rsidRPr="005775D9" w:rsidRDefault="005B1EE6" w:rsidP="00DB30B2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Absolute Risikoreduktion versus relative Risikoreduktion</w:t>
            </w: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(siehe auch Lernfeld 04: Qualitätssicherung: Gute Praxis Gesundheitsinformation)</w:t>
            </w: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Gigerenzer, G. (2014): Risiko. Wie man die richtigen Entscheidungen trifft. München: btb Verlag. (S. 209-243)</w:t>
            </w: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Siehe auch: 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>Glossar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S. 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>375-387</w:t>
            </w:r>
          </w:p>
        </w:tc>
        <w:tc>
          <w:tcPr>
            <w:tcW w:w="1561" w:type="dxa"/>
            <w:vMerge/>
          </w:tcPr>
          <w:p w:rsidR="005B1EE6" w:rsidRDefault="005B1EE6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  <w:tr w:rsidR="005B1EE6" w:rsidTr="00761037">
        <w:tc>
          <w:tcPr>
            <w:tcW w:w="4503" w:type="dxa"/>
          </w:tcPr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Die Lernenden zeigen auf, wie Patienten -Informationszentren an Kliniken aufgebaut werden können und welchen Nutzen eine interessierte Bevölkerung dadurch erhält</w:t>
            </w: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>ie Lernenden erläutern Ziele und Konzepte einer Patientenuniversität am Beispiel der Medizinischen Hochschule Hannover (MHH)</w:t>
            </w: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Aufbau und Nutzen von Patienteninformationszentren in Kliniken</w:t>
            </w: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Gesellschaftlicher Nutzwert der Patientenedukation</w:t>
            </w: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Konzept und Ziele von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 Patientenuniversitäten</w:t>
            </w:r>
          </w:p>
        </w:tc>
        <w:tc>
          <w:tcPr>
            <w:tcW w:w="3544" w:type="dxa"/>
          </w:tcPr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Adler, G. (2012): Patienten- und Familienedukation – eine Handreichung zur Implementierung von Patienten-Informationszentren in Einrichtungen des Gesundheitssektors. Netzwerk für Patienten -und Familienedukation in der Pflege e.V. (Hg.), Patienteninformationszentrum der Barmherzigen Brüder, Trier</w:t>
            </w: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Segmüller, T. (Hg.) (2017): Beraten, Informieren und Schulen. Ausgewählte Beiträge der Sektionsarbeit (BIS), Deutsche Gesellschaft für Pflegewissenschaft e.V., Duisburg</w:t>
            </w: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B1EE6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775D9">
              <w:rPr>
                <w:rFonts w:cstheme="minorHAnsi"/>
                <w:color w:val="0070C0"/>
                <w:sz w:val="18"/>
                <w:szCs w:val="18"/>
              </w:rPr>
              <w:t>Dierks, M.L./Seidel, G. (201</w:t>
            </w:r>
            <w:r>
              <w:rPr>
                <w:rFonts w:cstheme="minorHAnsi"/>
                <w:color w:val="0070C0"/>
                <w:sz w:val="18"/>
                <w:szCs w:val="18"/>
              </w:rPr>
              <w:t>7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>): Erhöhung der Gesundheitskompetenz durch interaktive Formen der Gesundheitsbildung – Konzept und Erfahrungen der Patient</w:t>
            </w:r>
            <w:r>
              <w:rPr>
                <w:rFonts w:cstheme="minorHAnsi"/>
                <w:color w:val="0070C0"/>
                <w:sz w:val="18"/>
                <w:szCs w:val="18"/>
              </w:rPr>
              <w:t>en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>universität an der Medi</w:t>
            </w:r>
            <w:r>
              <w:rPr>
                <w:rFonts w:cstheme="minorHAnsi"/>
                <w:color w:val="0070C0"/>
                <w:sz w:val="18"/>
                <w:szCs w:val="18"/>
              </w:rPr>
              <w:t>z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 xml:space="preserve">inischen Hochschule </w:t>
            </w:r>
            <w:r>
              <w:rPr>
                <w:rFonts w:cstheme="minorHAnsi"/>
                <w:color w:val="0070C0"/>
                <w:sz w:val="18"/>
                <w:szCs w:val="18"/>
              </w:rPr>
              <w:t>H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>annover (MHH). In: Schaeffer, D./Pelikan, J.M. (Hg.): Forschungsstand und Perspektiven. Bern: Hogrefe. S. 289</w:t>
            </w:r>
            <w:r>
              <w:rPr>
                <w:rFonts w:cstheme="minorHAnsi"/>
                <w:color w:val="0070C0"/>
                <w:sz w:val="18"/>
                <w:szCs w:val="18"/>
              </w:rPr>
              <w:t>-</w:t>
            </w:r>
            <w:r w:rsidRPr="005775D9">
              <w:rPr>
                <w:rFonts w:cstheme="minorHAnsi"/>
                <w:color w:val="0070C0"/>
                <w:sz w:val="18"/>
                <w:szCs w:val="18"/>
              </w:rPr>
              <w:t>302</w:t>
            </w:r>
          </w:p>
          <w:p w:rsidR="005B1EE6" w:rsidRPr="005775D9" w:rsidRDefault="005B1EE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B1EE6" w:rsidRDefault="005B1EE6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3B" w:rsidRDefault="0000373B" w:rsidP="002C78E9">
      <w:pPr>
        <w:spacing w:after="0" w:line="240" w:lineRule="auto"/>
      </w:pPr>
      <w:r>
        <w:separator/>
      </w:r>
    </w:p>
  </w:endnote>
  <w:endnote w:type="continuationSeparator" w:id="0">
    <w:p w:rsidR="0000373B" w:rsidRDefault="0000373B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8" w:rsidRDefault="00647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4D" w:rsidRDefault="003E1D4D" w:rsidP="003E1D4D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8" w:rsidRDefault="006479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3B" w:rsidRDefault="0000373B" w:rsidP="002C78E9">
      <w:pPr>
        <w:spacing w:after="0" w:line="240" w:lineRule="auto"/>
      </w:pPr>
      <w:r>
        <w:separator/>
      </w:r>
    </w:p>
  </w:footnote>
  <w:footnote w:type="continuationSeparator" w:id="0">
    <w:p w:rsidR="0000373B" w:rsidRDefault="0000373B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8" w:rsidRDefault="006479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8" w:rsidRDefault="006479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373B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97626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5D1B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4DB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1F7F8F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38A5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004A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E7A38"/>
    <w:rsid w:val="002F0375"/>
    <w:rsid w:val="002F4543"/>
    <w:rsid w:val="002F559C"/>
    <w:rsid w:val="0030062C"/>
    <w:rsid w:val="00301414"/>
    <w:rsid w:val="00301BDD"/>
    <w:rsid w:val="00301E3F"/>
    <w:rsid w:val="0030403E"/>
    <w:rsid w:val="00304498"/>
    <w:rsid w:val="003048B3"/>
    <w:rsid w:val="00305344"/>
    <w:rsid w:val="00307122"/>
    <w:rsid w:val="00307EB1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61A9"/>
    <w:rsid w:val="00397964"/>
    <w:rsid w:val="003A0BD3"/>
    <w:rsid w:val="003A1A0D"/>
    <w:rsid w:val="003A2078"/>
    <w:rsid w:val="003A27C9"/>
    <w:rsid w:val="003A304B"/>
    <w:rsid w:val="003A4B03"/>
    <w:rsid w:val="003A6236"/>
    <w:rsid w:val="003B19D9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A75"/>
    <w:rsid w:val="003E1C30"/>
    <w:rsid w:val="003E1D4D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CE6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1D43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3701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775D9"/>
    <w:rsid w:val="0058017A"/>
    <w:rsid w:val="00590348"/>
    <w:rsid w:val="00590EC7"/>
    <w:rsid w:val="0059341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1EE6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34E"/>
    <w:rsid w:val="006346E7"/>
    <w:rsid w:val="006356EF"/>
    <w:rsid w:val="00636BF7"/>
    <w:rsid w:val="0064237A"/>
    <w:rsid w:val="0064390F"/>
    <w:rsid w:val="00643FF8"/>
    <w:rsid w:val="006450F0"/>
    <w:rsid w:val="00647978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879D1"/>
    <w:rsid w:val="00693618"/>
    <w:rsid w:val="00694381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1EC6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0B2"/>
    <w:rsid w:val="00816775"/>
    <w:rsid w:val="008175EF"/>
    <w:rsid w:val="00817FEA"/>
    <w:rsid w:val="008201EF"/>
    <w:rsid w:val="00820E63"/>
    <w:rsid w:val="008229EE"/>
    <w:rsid w:val="00825024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4D5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031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442D"/>
    <w:rsid w:val="00A960CC"/>
    <w:rsid w:val="00A96818"/>
    <w:rsid w:val="00AA11D8"/>
    <w:rsid w:val="00AA1374"/>
    <w:rsid w:val="00AA22D2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E6EEC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20A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2B43"/>
    <w:rsid w:val="00C54196"/>
    <w:rsid w:val="00C55AA7"/>
    <w:rsid w:val="00C616C7"/>
    <w:rsid w:val="00C61A27"/>
    <w:rsid w:val="00C62A0E"/>
    <w:rsid w:val="00C63991"/>
    <w:rsid w:val="00C63998"/>
    <w:rsid w:val="00C65FB4"/>
    <w:rsid w:val="00C66016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34842"/>
    <w:rsid w:val="00D455F5"/>
    <w:rsid w:val="00D46D9C"/>
    <w:rsid w:val="00D4745C"/>
    <w:rsid w:val="00D4786E"/>
    <w:rsid w:val="00D529F8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0B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um.ch/documents/20181//109503//Serviceteil+%C3%96sterrei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wmf.org/leitlinien/patienteninformatio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39D1-96C2-46B0-865D-9B7EEC3B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26</cp:revision>
  <cp:lastPrinted>2018-12-04T14:42:00Z</cp:lastPrinted>
  <dcterms:created xsi:type="dcterms:W3CDTF">2019-08-12T10:24:00Z</dcterms:created>
  <dcterms:modified xsi:type="dcterms:W3CDTF">2019-11-21T06:24:00Z</dcterms:modified>
</cp:coreProperties>
</file>