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975A15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2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975A15">
        <w:rPr>
          <w:rFonts w:ascii="Calibri" w:eastAsia="Calibri" w:hAnsi="Calibri" w:cs="Times New Roman"/>
          <w:color w:val="4F81BD" w:themeColor="accent1"/>
          <w:sz w:val="28"/>
          <w:szCs w:val="28"/>
        </w:rPr>
        <w:t>Einflussnahme auf Bedingungen von Gesundheit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A362B8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7D79D0" w:rsidRDefault="002244AD" w:rsidP="00270F07">
            <w:pPr>
              <w:rPr>
                <w:b/>
                <w:color w:val="4F81BD" w:themeColor="accent1"/>
              </w:rPr>
            </w:pPr>
            <w:r w:rsidRPr="00A362B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7D79D0">
              <w:rPr>
                <w:b/>
                <w:color w:val="4F81BD" w:themeColor="accent1"/>
              </w:rPr>
              <w:t>„</w:t>
            </w:r>
            <w:r w:rsidR="000436A7" w:rsidRPr="007D79D0">
              <w:rPr>
                <w:b/>
                <w:color w:val="4F81BD" w:themeColor="accent1"/>
              </w:rPr>
              <w:t>Betonung der verhältnisgestützten Verhaltensprävention</w:t>
            </w:r>
            <w:r w:rsidR="00761037" w:rsidRPr="007D79D0">
              <w:rPr>
                <w:b/>
                <w:color w:val="4F81BD" w:themeColor="accent1"/>
              </w:rPr>
              <w:t>“</w:t>
            </w:r>
          </w:p>
          <w:p w:rsidR="002244AD" w:rsidRPr="00A362B8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A362B8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362B8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A362B8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A362B8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362B8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A362B8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A362B8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Literatur / Links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771E04" w:rsidRDefault="00761037" w:rsidP="00165DCD">
            <w:pPr>
              <w:rPr>
                <w:rFonts w:cstheme="minorHAnsi"/>
                <w:b/>
                <w:color w:val="C6D9F1" w:themeColor="text2" w:themeTint="33"/>
              </w:rPr>
            </w:pPr>
            <w:r w:rsidRPr="00771E04">
              <w:rPr>
                <w:rFonts w:cstheme="minorHAnsi"/>
                <w:b/>
                <w:color w:val="C6D9F1" w:themeColor="text2" w:themeTint="33"/>
              </w:rPr>
              <w:t xml:space="preserve">EQR </w:t>
            </w:r>
          </w:p>
        </w:tc>
      </w:tr>
      <w:tr w:rsidR="00D800F0" w:rsidRPr="00D800F0" w:rsidTr="00761037">
        <w:tc>
          <w:tcPr>
            <w:tcW w:w="4503" w:type="dxa"/>
          </w:tcPr>
          <w:p w:rsidR="00596D8A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 xml:space="preserve">Die Lernenden </w:t>
            </w:r>
            <w:r w:rsidR="00C77497">
              <w:rPr>
                <w:rFonts w:cstheme="minorHAnsi"/>
                <w:color w:val="0070C0"/>
                <w:sz w:val="18"/>
                <w:szCs w:val="18"/>
              </w:rPr>
              <w:t>verdeutlichen</w:t>
            </w:r>
            <w:r>
              <w:rPr>
                <w:rFonts w:cstheme="minorHAnsi"/>
                <w:color w:val="0070C0"/>
                <w:sz w:val="18"/>
                <w:szCs w:val="18"/>
              </w:rPr>
              <w:t xml:space="preserve"> Voraussetzungen für Verhaltensänderung in dem sie verhältnisorientierte Bedingungen aufzeigen</w:t>
            </w:r>
          </w:p>
          <w:p w:rsid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Pr="00A362B8" w:rsidRDefault="00A362B8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setzen sich kritisch mit ausgewählten psychologischen Modellen des Gesundheitsverhaltens auseinander, um die Betonung verhältnisorientierter Variablen in den Modellen zu diskutieren</w:t>
            </w:r>
          </w:p>
        </w:tc>
        <w:tc>
          <w:tcPr>
            <w:tcW w:w="4819" w:type="dxa"/>
          </w:tcPr>
          <w:p w:rsidR="00246347" w:rsidRPr="00A362B8" w:rsidRDefault="00771E04" w:rsidP="0024634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362B8">
              <w:rPr>
                <w:rFonts w:cstheme="minorHAnsi"/>
                <w:color w:val="0070C0"/>
                <w:sz w:val="18"/>
                <w:szCs w:val="18"/>
              </w:rPr>
              <w:t>V</w:t>
            </w:r>
            <w:r w:rsidR="00246347" w:rsidRPr="00A362B8">
              <w:rPr>
                <w:rFonts w:cstheme="minorHAnsi"/>
                <w:color w:val="0070C0"/>
                <w:sz w:val="18"/>
                <w:szCs w:val="18"/>
              </w:rPr>
              <w:t>erhältnisgestützte Verhaltensprävention</w:t>
            </w:r>
            <w:r w:rsidRPr="00A362B8">
              <w:rPr>
                <w:rFonts w:cstheme="minorHAnsi"/>
                <w:color w:val="0070C0"/>
                <w:sz w:val="18"/>
                <w:szCs w:val="18"/>
              </w:rPr>
              <w:t xml:space="preserve"> als Lebensansatz</w:t>
            </w:r>
          </w:p>
          <w:p w:rsidR="00246347" w:rsidRPr="00A362B8" w:rsidRDefault="00246347" w:rsidP="002463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436A7" w:rsidRPr="00A362B8" w:rsidRDefault="000436A7" w:rsidP="002463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436A7" w:rsidRPr="00A362B8" w:rsidRDefault="000436A7" w:rsidP="0024634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436A7" w:rsidRPr="00A362B8" w:rsidRDefault="000436A7" w:rsidP="0024634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362B8">
              <w:rPr>
                <w:rFonts w:cstheme="minorHAnsi"/>
                <w:color w:val="0070C0"/>
                <w:sz w:val="18"/>
                <w:szCs w:val="18"/>
              </w:rPr>
              <w:t>Grundvoraussetzungen für Verhaltensänderung</w:t>
            </w:r>
          </w:p>
          <w:p w:rsidR="00246347" w:rsidRPr="00A362B8" w:rsidRDefault="00246347" w:rsidP="002463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A362B8" w:rsidRPr="00A362B8" w:rsidRDefault="00A362B8" w:rsidP="002463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A362B8" w:rsidRPr="00A362B8" w:rsidRDefault="00A362B8" w:rsidP="002463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A362B8" w:rsidRPr="00A362B8" w:rsidRDefault="00A362B8" w:rsidP="002463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A362B8" w:rsidRPr="00A362B8" w:rsidRDefault="00A362B8" w:rsidP="0024634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A362B8" w:rsidRPr="00A362B8" w:rsidRDefault="00A362B8" w:rsidP="00246347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A362B8">
              <w:rPr>
                <w:rFonts w:cstheme="minorHAnsi"/>
                <w:color w:val="0070C0"/>
                <w:sz w:val="18"/>
                <w:szCs w:val="18"/>
              </w:rPr>
              <w:t>Grenzen psychologischer Modelle des G</w:t>
            </w:r>
            <w:r>
              <w:rPr>
                <w:rFonts w:cstheme="minorHAnsi"/>
                <w:color w:val="0070C0"/>
                <w:sz w:val="18"/>
                <w:szCs w:val="18"/>
              </w:rPr>
              <w:t>e</w:t>
            </w:r>
            <w:r w:rsidRPr="00A362B8">
              <w:rPr>
                <w:rFonts w:cstheme="minorHAnsi"/>
                <w:color w:val="0070C0"/>
                <w:sz w:val="18"/>
                <w:szCs w:val="18"/>
              </w:rPr>
              <w:t>sundheitsverhaltens</w:t>
            </w:r>
          </w:p>
        </w:tc>
        <w:tc>
          <w:tcPr>
            <w:tcW w:w="3544" w:type="dxa"/>
          </w:tcPr>
          <w:p w:rsidR="000436A7" w:rsidRPr="00A362B8" w:rsidRDefault="00246347" w:rsidP="000436A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362B8">
              <w:rPr>
                <w:rFonts w:cstheme="minorHAnsi"/>
                <w:color w:val="0070C0"/>
                <w:sz w:val="18"/>
                <w:szCs w:val="18"/>
              </w:rPr>
              <w:t>Klemperer, D. (2015): Sozialmedizin-Public Health-Gesundheitswissenschaften</w:t>
            </w:r>
            <w:r w:rsidR="003E02D8" w:rsidRPr="00A362B8">
              <w:rPr>
                <w:rFonts w:cstheme="minorHAnsi"/>
                <w:color w:val="0070C0"/>
                <w:sz w:val="18"/>
                <w:szCs w:val="18"/>
              </w:rPr>
              <w:t>. Bern: Hogrefe</w:t>
            </w:r>
          </w:p>
          <w:p w:rsidR="000436A7" w:rsidRPr="00A362B8" w:rsidRDefault="000436A7" w:rsidP="000436A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0436A7" w:rsidRPr="00A362B8" w:rsidRDefault="000436A7" w:rsidP="000436A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362B8">
              <w:rPr>
                <w:rFonts w:cstheme="minorHAnsi"/>
                <w:color w:val="0070C0"/>
                <w:sz w:val="18"/>
                <w:szCs w:val="18"/>
              </w:rPr>
              <w:t>Naidoo, J./Wills, J. (2019): Lehrbuch Gesundheitsförderung. Deutsche Ausgabe herausgegeben von der Bundeszentrale für gesundheitliche Aufklärung. Bern: Hogrefe</w:t>
            </w:r>
          </w:p>
          <w:p w:rsidR="00A362B8" w:rsidRPr="00A362B8" w:rsidRDefault="00A362B8" w:rsidP="000436A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Pr="00A362B8" w:rsidRDefault="00A362B8" w:rsidP="000436A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Default="00A362B8" w:rsidP="000436A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A362B8">
              <w:rPr>
                <w:rFonts w:cstheme="minorHAnsi"/>
                <w:color w:val="0070C0"/>
                <w:sz w:val="18"/>
                <w:szCs w:val="18"/>
              </w:rPr>
              <w:t>Faltermaier, T. (2017): Gesundheitspsychologie. Stuttgart: Kohlhammer</w:t>
            </w:r>
          </w:p>
          <w:p w:rsidR="00A362B8" w:rsidRDefault="00A362B8" w:rsidP="000436A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A362B8" w:rsidRPr="00A362B8" w:rsidRDefault="00A362B8" w:rsidP="000436A7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  <w:tc>
          <w:tcPr>
            <w:tcW w:w="1561" w:type="dxa"/>
          </w:tcPr>
          <w:p w:rsidR="00596D8A" w:rsidRPr="002E52F0" w:rsidRDefault="000436A7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5-6</w:t>
            </w: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  <w:p w:rsidR="0004089C" w:rsidRPr="00D800F0" w:rsidRDefault="0004089C" w:rsidP="00596D8A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761037" w:rsidRDefault="00761037" w:rsidP="002B2823">
      <w:pPr>
        <w:rPr>
          <w:i/>
          <w:sz w:val="18"/>
          <w:szCs w:val="18"/>
          <w:lang w:val="de-AT"/>
        </w:rPr>
      </w:pPr>
    </w:p>
    <w:sectPr w:rsidR="00761037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47A" w:rsidRDefault="00F5747A" w:rsidP="002C78E9">
      <w:pPr>
        <w:spacing w:after="0" w:line="240" w:lineRule="auto"/>
      </w:pPr>
      <w:r>
        <w:separator/>
      </w:r>
    </w:p>
  </w:endnote>
  <w:endnote w:type="continuationSeparator" w:id="0">
    <w:p w:rsidR="00F5747A" w:rsidRDefault="00F5747A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08" w:rsidRDefault="001E6C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Pr="00920510" w:rsidRDefault="002C78E9" w:rsidP="002C78E9">
    <w:pPr>
      <w:pStyle w:val="Fuzeile"/>
      <w:rPr>
        <w:i/>
        <w:color w:val="808080" w:themeColor="background1" w:themeShade="80"/>
        <w:sz w:val="18"/>
        <w:szCs w:val="18"/>
      </w:rPr>
    </w:pPr>
    <w:bookmarkStart w:id="0" w:name="_GoBack"/>
    <w:bookmarkEnd w:id="0"/>
    <w:r w:rsidRPr="00920510">
      <w:rPr>
        <w:i/>
        <w:color w:val="808080" w:themeColor="background1" w:themeShade="80"/>
        <w:sz w:val="18"/>
        <w:szCs w:val="18"/>
      </w:rPr>
      <w:t>Status</w:t>
    </w:r>
    <w:r>
      <w:rPr>
        <w:i/>
        <w:color w:val="808080" w:themeColor="background1" w:themeShade="80"/>
        <w:sz w:val="18"/>
        <w:szCs w:val="18"/>
      </w:rPr>
      <w:t>:</w:t>
    </w:r>
    <w:r w:rsidRPr="00920510">
      <w:rPr>
        <w:i/>
        <w:color w:val="808080" w:themeColor="background1" w:themeShade="80"/>
        <w:sz w:val="18"/>
        <w:szCs w:val="18"/>
      </w:rPr>
      <w:t xml:space="preserve"> </w:t>
    </w:r>
    <w:r w:rsidR="00761037">
      <w:rPr>
        <w:i/>
        <w:color w:val="808080" w:themeColor="background1" w:themeShade="80"/>
        <w:sz w:val="18"/>
        <w:szCs w:val="18"/>
      </w:rPr>
      <w:t xml:space="preserve">Endstand </w:t>
    </w:r>
    <w:r w:rsidR="0004089C">
      <w:rPr>
        <w:i/>
        <w:color w:val="808080" w:themeColor="background1" w:themeShade="80"/>
        <w:sz w:val="18"/>
        <w:szCs w:val="18"/>
      </w:rPr>
      <w:t>24.09</w:t>
    </w:r>
    <w:r w:rsidR="00761037">
      <w:rPr>
        <w:i/>
        <w:color w:val="808080" w:themeColor="background1" w:themeShade="80"/>
        <w:sz w:val="18"/>
        <w:szCs w:val="18"/>
      </w:rPr>
      <w:t>.201</w:t>
    </w:r>
    <w:r w:rsidR="0004089C">
      <w:rPr>
        <w:i/>
        <w:color w:val="808080" w:themeColor="background1" w:themeShade="80"/>
        <w:sz w:val="18"/>
        <w:szCs w:val="18"/>
      </w:rPr>
      <w:t>9</w:t>
    </w:r>
    <w:r w:rsidR="001740D4">
      <w:rPr>
        <w:i/>
        <w:color w:val="808080" w:themeColor="background1" w:themeShade="80"/>
        <w:sz w:val="18"/>
        <w:szCs w:val="18"/>
      </w:rPr>
      <w:t xml:space="preserve"> </w:t>
    </w:r>
  </w:p>
  <w:p w:rsidR="002C78E9" w:rsidRPr="002C78E9" w:rsidRDefault="002C78E9" w:rsidP="002C78E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08" w:rsidRDefault="001E6C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47A" w:rsidRDefault="00F5747A" w:rsidP="002C78E9">
      <w:pPr>
        <w:spacing w:after="0" w:line="240" w:lineRule="auto"/>
      </w:pPr>
      <w:r>
        <w:separator/>
      </w:r>
    </w:p>
  </w:footnote>
  <w:footnote w:type="continuationSeparator" w:id="0">
    <w:p w:rsidR="00F5747A" w:rsidRDefault="00F5747A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08" w:rsidRDefault="001E6C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C08" w:rsidRDefault="001E6C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16333"/>
    <w:rsid w:val="0002709B"/>
    <w:rsid w:val="0002764F"/>
    <w:rsid w:val="00032DF1"/>
    <w:rsid w:val="00035A88"/>
    <w:rsid w:val="00035CEC"/>
    <w:rsid w:val="00036EA9"/>
    <w:rsid w:val="00037863"/>
    <w:rsid w:val="0004089C"/>
    <w:rsid w:val="00040EB7"/>
    <w:rsid w:val="00041D84"/>
    <w:rsid w:val="00042169"/>
    <w:rsid w:val="000430E4"/>
    <w:rsid w:val="000436A7"/>
    <w:rsid w:val="00043CD6"/>
    <w:rsid w:val="00044F3F"/>
    <w:rsid w:val="000466D9"/>
    <w:rsid w:val="00047B0A"/>
    <w:rsid w:val="00050A02"/>
    <w:rsid w:val="00053790"/>
    <w:rsid w:val="00057312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40D4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2401"/>
    <w:rsid w:val="001B41E0"/>
    <w:rsid w:val="001B4AA0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6C08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361B6"/>
    <w:rsid w:val="00243936"/>
    <w:rsid w:val="002441C2"/>
    <w:rsid w:val="00244360"/>
    <w:rsid w:val="00246347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3150"/>
    <w:rsid w:val="002E52F0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4B03"/>
    <w:rsid w:val="003A5660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2D8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431A"/>
    <w:rsid w:val="0049728A"/>
    <w:rsid w:val="00497BE1"/>
    <w:rsid w:val="004A4D35"/>
    <w:rsid w:val="004A5BA4"/>
    <w:rsid w:val="004A7988"/>
    <w:rsid w:val="004B05E9"/>
    <w:rsid w:val="004B4E2A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03CE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1E04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D0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7F4628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7E9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87552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1F5A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2B8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44E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77497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6791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5747A"/>
    <w:rsid w:val="00F66796"/>
    <w:rsid w:val="00F67346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B5193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751C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14312-8468-4370-BE1C-27A75E99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24</cp:revision>
  <cp:lastPrinted>2018-12-04T14:42:00Z</cp:lastPrinted>
  <dcterms:created xsi:type="dcterms:W3CDTF">2019-08-12T10:24:00Z</dcterms:created>
  <dcterms:modified xsi:type="dcterms:W3CDTF">2019-11-21T06:19:00Z</dcterms:modified>
</cp:coreProperties>
</file>