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A152A6">
        <w:rPr>
          <w:i/>
          <w:color w:val="808080" w:themeColor="background1" w:themeShade="80"/>
          <w:sz w:val="28"/>
          <w:szCs w:val="28"/>
        </w:rPr>
        <w:t xml:space="preserve"> 02: </w:t>
      </w:r>
      <w:r w:rsidR="00A152A6">
        <w:rPr>
          <w:color w:val="4F81BD" w:themeColor="accent1"/>
          <w:sz w:val="28"/>
          <w:szCs w:val="28"/>
        </w:rPr>
        <w:t>„Einflussnahme auf Bedingungen von Gesundheit“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172936">
              <w:rPr>
                <w:b/>
                <w:color w:val="4F81BD" w:themeColor="accent1"/>
              </w:rPr>
              <w:t>Public Health – Hinte</w:t>
            </w:r>
            <w:r w:rsidR="00CB2C2E">
              <w:rPr>
                <w:b/>
                <w:color w:val="4F81BD" w:themeColor="accent1"/>
              </w:rPr>
              <w:t>rgrund und Wirkung des Ansatzes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8B68E9" w:rsidTr="00761037">
        <w:tc>
          <w:tcPr>
            <w:tcW w:w="4503" w:type="dxa"/>
          </w:tcPr>
          <w:p w:rsidR="008B68E9" w:rsidRPr="008B68E9" w:rsidRDefault="008B68E9" w:rsidP="008B68E9">
            <w:pPr>
              <w:rPr>
                <w:color w:val="0070C0"/>
                <w:sz w:val="18"/>
                <w:szCs w:val="18"/>
              </w:rPr>
            </w:pPr>
            <w:r w:rsidRPr="008B68E9">
              <w:rPr>
                <w:color w:val="0070C0"/>
                <w:sz w:val="18"/>
                <w:szCs w:val="18"/>
              </w:rPr>
              <w:t xml:space="preserve">Die Lernenden definieren Public Health und umschreiben Aufgaben von Public Health auf nationaler und internationaler Ebene </w:t>
            </w:r>
          </w:p>
          <w:p w:rsidR="008B68E9" w:rsidRPr="002E7B2A" w:rsidRDefault="008B68E9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B68E9" w:rsidRPr="002E7B2A" w:rsidRDefault="008B68E9" w:rsidP="00172936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2E7B2A">
              <w:rPr>
                <w:rFonts w:cstheme="minorHAnsi"/>
                <w:color w:val="0070C0"/>
                <w:sz w:val="18"/>
                <w:szCs w:val="18"/>
              </w:rPr>
              <w:t>Public Health Begriffserklärung, historische Entwicklung</w:t>
            </w:r>
          </w:p>
          <w:p w:rsidR="008B68E9" w:rsidRPr="002E7B2A" w:rsidRDefault="008B68E9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B68E9" w:rsidRPr="002E7B2A" w:rsidRDefault="008B68E9" w:rsidP="002E7B2A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8B68E9" w:rsidRPr="002E7B2A" w:rsidRDefault="008B68E9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E7B2A">
              <w:rPr>
                <w:rFonts w:cstheme="minorHAnsi"/>
                <w:color w:val="0070C0"/>
                <w:sz w:val="18"/>
                <w:szCs w:val="18"/>
              </w:rPr>
              <w:t>Naidoo Jennie/Wills Jane (2010): Lehrbuch der Gesundheitsförderung. BZgA/Bundeszentrale für gesundheitliche Aufklärung. Gamburg: Verlag für Gesundheitsförderung.</w:t>
            </w:r>
          </w:p>
          <w:p w:rsidR="008B68E9" w:rsidRPr="002E7B2A" w:rsidRDefault="008B68E9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B68E9" w:rsidRDefault="008B68E9" w:rsidP="00172936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  <w:r w:rsidRPr="002E7B2A">
              <w:rPr>
                <w:rFonts w:cstheme="minorHAnsi"/>
                <w:color w:val="0070C0"/>
                <w:sz w:val="18"/>
                <w:szCs w:val="18"/>
              </w:rPr>
              <w:t>Bitzer,Eva/Spörhase, Ulrike (2015): Was macht Menschen gesundheitskompetent? Kompetenzerwerb aus pädagogischer und Public Health-Perpektive. In: Health Literacy/Gesundheitsförderung – Wissenschaftliche Definitionen, empirische Befunde und gesellschaftlicher Nutzen, BZgA, Bd. 20, Köln.</w:t>
            </w:r>
          </w:p>
          <w:p w:rsidR="008B68E9" w:rsidRPr="002E7B2A" w:rsidRDefault="008B68E9" w:rsidP="00172936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8B68E9" w:rsidRPr="002E7B2A" w:rsidRDefault="008B68E9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5</w:t>
            </w:r>
            <w:r w:rsidRPr="002E7B2A">
              <w:rPr>
                <w:rFonts w:cstheme="minorHAnsi"/>
                <w:color w:val="0070C0"/>
                <w:sz w:val="18"/>
                <w:szCs w:val="18"/>
              </w:rPr>
              <w:t>-6</w:t>
            </w:r>
          </w:p>
          <w:p w:rsidR="008B68E9" w:rsidRPr="002E7B2A" w:rsidRDefault="008B68E9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8B68E9" w:rsidTr="00761037">
        <w:tc>
          <w:tcPr>
            <w:tcW w:w="4503" w:type="dxa"/>
          </w:tcPr>
          <w:p w:rsidR="008B68E9" w:rsidRPr="008B68E9" w:rsidRDefault="008B68E9" w:rsidP="008B68E9">
            <w:pPr>
              <w:rPr>
                <w:color w:val="0070C0"/>
                <w:sz w:val="18"/>
                <w:szCs w:val="18"/>
              </w:rPr>
            </w:pPr>
            <w:r w:rsidRPr="008B68E9">
              <w:rPr>
                <w:color w:val="0070C0"/>
                <w:sz w:val="18"/>
                <w:szCs w:val="18"/>
              </w:rPr>
              <w:t>Die Lernenden erklären an Hand Public Health-Strategien die Wirkung des Ansatzes zur Minderung der gesundheitl. Chancenungleichheiten der Gesellschaft und leiten daraus für Gesundheitsberufe relevante Maßnahmen zur Verbesserung der Gesundheitskompetenz ab</w:t>
            </w:r>
          </w:p>
          <w:p w:rsidR="008B68E9" w:rsidRDefault="008B68E9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B68E9" w:rsidRPr="004479BB" w:rsidRDefault="008B68E9" w:rsidP="004479BB">
            <w:pPr>
              <w:rPr>
                <w:rFonts w:cstheme="minorHAnsi"/>
                <w:sz w:val="18"/>
                <w:szCs w:val="18"/>
              </w:rPr>
            </w:pPr>
          </w:p>
          <w:p w:rsidR="008B68E9" w:rsidRPr="004479BB" w:rsidRDefault="008B68E9" w:rsidP="004479BB">
            <w:pPr>
              <w:rPr>
                <w:rFonts w:cstheme="minorHAnsi"/>
                <w:sz w:val="18"/>
                <w:szCs w:val="18"/>
              </w:rPr>
            </w:pPr>
          </w:p>
          <w:p w:rsidR="008B68E9" w:rsidRPr="004479BB" w:rsidRDefault="008B68E9" w:rsidP="004479BB">
            <w:pPr>
              <w:rPr>
                <w:rFonts w:cstheme="minorHAnsi"/>
                <w:sz w:val="18"/>
                <w:szCs w:val="18"/>
              </w:rPr>
            </w:pPr>
          </w:p>
          <w:p w:rsidR="008B68E9" w:rsidRPr="004479BB" w:rsidRDefault="008B68E9" w:rsidP="004479BB">
            <w:pPr>
              <w:rPr>
                <w:rFonts w:cstheme="minorHAnsi"/>
                <w:sz w:val="18"/>
                <w:szCs w:val="18"/>
              </w:rPr>
            </w:pPr>
          </w:p>
          <w:p w:rsidR="008B68E9" w:rsidRDefault="008B68E9" w:rsidP="004479BB">
            <w:pPr>
              <w:rPr>
                <w:rFonts w:cstheme="minorHAnsi"/>
                <w:sz w:val="18"/>
                <w:szCs w:val="18"/>
              </w:rPr>
            </w:pPr>
          </w:p>
          <w:p w:rsidR="008B68E9" w:rsidRPr="004479BB" w:rsidRDefault="008B68E9" w:rsidP="004479BB">
            <w:pPr>
              <w:rPr>
                <w:rFonts w:cstheme="minorHAnsi"/>
                <w:sz w:val="18"/>
                <w:szCs w:val="18"/>
              </w:rPr>
            </w:pPr>
          </w:p>
          <w:p w:rsidR="008B68E9" w:rsidRPr="004479BB" w:rsidRDefault="008B68E9" w:rsidP="004479BB">
            <w:pPr>
              <w:rPr>
                <w:rFonts w:cstheme="minorHAnsi"/>
                <w:sz w:val="18"/>
                <w:szCs w:val="18"/>
              </w:rPr>
            </w:pPr>
          </w:p>
          <w:p w:rsidR="008B68E9" w:rsidRDefault="008B68E9" w:rsidP="004479BB">
            <w:pPr>
              <w:rPr>
                <w:rFonts w:cstheme="minorHAnsi"/>
                <w:sz w:val="18"/>
                <w:szCs w:val="18"/>
              </w:rPr>
            </w:pPr>
          </w:p>
          <w:p w:rsidR="008B68E9" w:rsidRDefault="008B68E9" w:rsidP="004479BB">
            <w:pPr>
              <w:rPr>
                <w:rFonts w:cstheme="minorHAnsi"/>
                <w:sz w:val="18"/>
                <w:szCs w:val="18"/>
              </w:rPr>
            </w:pPr>
          </w:p>
          <w:p w:rsidR="008B68E9" w:rsidRPr="004479BB" w:rsidRDefault="008B68E9" w:rsidP="004479B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B68E9" w:rsidRPr="002E7B2A" w:rsidRDefault="008B68E9" w:rsidP="00172936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2E7B2A">
              <w:rPr>
                <w:rFonts w:cstheme="minorHAnsi"/>
                <w:color w:val="0070C0"/>
                <w:sz w:val="18"/>
                <w:szCs w:val="18"/>
              </w:rPr>
              <w:t xml:space="preserve">Globale WHO Programme </w:t>
            </w:r>
          </w:p>
          <w:p w:rsidR="008B68E9" w:rsidRPr="002E7B2A" w:rsidRDefault="008B68E9" w:rsidP="00172936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2E7B2A">
              <w:rPr>
                <w:rFonts w:cstheme="minorHAnsi"/>
                <w:color w:val="0070C0"/>
                <w:sz w:val="18"/>
                <w:szCs w:val="18"/>
              </w:rPr>
              <w:t xml:space="preserve">Nationale Gesundheitsziele </w:t>
            </w:r>
          </w:p>
          <w:p w:rsidR="008B68E9" w:rsidRPr="002E7B2A" w:rsidRDefault="008B68E9" w:rsidP="00172936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2E7B2A">
              <w:rPr>
                <w:rFonts w:cstheme="minorHAnsi"/>
                <w:color w:val="0070C0"/>
                <w:sz w:val="18"/>
                <w:szCs w:val="18"/>
              </w:rPr>
              <w:t xml:space="preserve">Maßnahmen für die persönliche Gesundheit, </w:t>
            </w:r>
          </w:p>
          <w:p w:rsidR="008B68E9" w:rsidRPr="002E7B2A" w:rsidRDefault="008B68E9" w:rsidP="00172936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2E7B2A">
              <w:rPr>
                <w:rFonts w:cstheme="minorHAnsi"/>
                <w:color w:val="0070C0"/>
                <w:sz w:val="18"/>
                <w:szCs w:val="18"/>
              </w:rPr>
              <w:t>für die Orientierung im Gesundheitssystem,</w:t>
            </w:r>
          </w:p>
          <w:p w:rsidR="008B68E9" w:rsidRPr="002E7B2A" w:rsidRDefault="008B68E9" w:rsidP="00172936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2E7B2A">
              <w:rPr>
                <w:rFonts w:cstheme="minorHAnsi"/>
                <w:color w:val="0070C0"/>
                <w:sz w:val="18"/>
                <w:szCs w:val="18"/>
              </w:rPr>
              <w:t>Gesundheit am Arbeitsplatz und weiteren Settings,</w:t>
            </w:r>
          </w:p>
          <w:p w:rsidR="008B68E9" w:rsidRPr="002E7B2A" w:rsidRDefault="008B68E9" w:rsidP="00172936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2E7B2A">
              <w:rPr>
                <w:rFonts w:cstheme="minorHAnsi"/>
                <w:color w:val="0070C0"/>
                <w:sz w:val="18"/>
                <w:szCs w:val="18"/>
              </w:rPr>
              <w:t>Gesundheit und Konsumverhalten</w:t>
            </w:r>
          </w:p>
          <w:p w:rsidR="008B68E9" w:rsidRDefault="008B68E9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B68E9" w:rsidRPr="008B68E9" w:rsidRDefault="008B68E9" w:rsidP="008B68E9">
            <w:pPr>
              <w:rPr>
                <w:rFonts w:cstheme="minorHAnsi"/>
                <w:sz w:val="18"/>
                <w:szCs w:val="18"/>
              </w:rPr>
            </w:pPr>
          </w:p>
          <w:p w:rsidR="008B68E9" w:rsidRPr="008B68E9" w:rsidRDefault="008B68E9" w:rsidP="008B68E9">
            <w:pPr>
              <w:rPr>
                <w:rFonts w:cstheme="minorHAnsi"/>
                <w:sz w:val="18"/>
                <w:szCs w:val="18"/>
              </w:rPr>
            </w:pPr>
          </w:p>
          <w:p w:rsidR="008B68E9" w:rsidRPr="008B68E9" w:rsidRDefault="008B68E9" w:rsidP="008B68E9">
            <w:pPr>
              <w:rPr>
                <w:rFonts w:cstheme="minorHAnsi"/>
                <w:sz w:val="18"/>
                <w:szCs w:val="18"/>
              </w:rPr>
            </w:pPr>
          </w:p>
          <w:p w:rsidR="008B68E9" w:rsidRPr="008B68E9" w:rsidRDefault="008B68E9" w:rsidP="008B68E9">
            <w:pPr>
              <w:rPr>
                <w:rFonts w:cstheme="minorHAnsi"/>
                <w:sz w:val="18"/>
                <w:szCs w:val="18"/>
              </w:rPr>
            </w:pPr>
          </w:p>
          <w:p w:rsidR="008B68E9" w:rsidRDefault="008B68E9" w:rsidP="008B68E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B68E9" w:rsidRPr="008B68E9" w:rsidRDefault="008B68E9" w:rsidP="008B68E9">
            <w:pPr>
              <w:rPr>
                <w:rFonts w:cstheme="minorHAnsi"/>
                <w:sz w:val="18"/>
                <w:szCs w:val="18"/>
              </w:rPr>
            </w:pPr>
          </w:p>
          <w:p w:rsidR="008B68E9" w:rsidRPr="008B68E9" w:rsidRDefault="008B68E9" w:rsidP="008B68E9">
            <w:pPr>
              <w:rPr>
                <w:rFonts w:cstheme="minorHAnsi"/>
                <w:sz w:val="18"/>
                <w:szCs w:val="18"/>
              </w:rPr>
            </w:pPr>
          </w:p>
          <w:p w:rsidR="008B68E9" w:rsidRDefault="008B68E9" w:rsidP="008B68E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B68E9" w:rsidRDefault="008B68E9" w:rsidP="008B68E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B68E9" w:rsidRPr="008B68E9" w:rsidRDefault="008B68E9" w:rsidP="008B68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8B68E9" w:rsidRPr="002E7B2A" w:rsidRDefault="008B68E9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E7B2A">
              <w:rPr>
                <w:rFonts w:cstheme="minorHAnsi"/>
                <w:color w:val="0070C0"/>
                <w:sz w:val="18"/>
                <w:szCs w:val="18"/>
              </w:rPr>
              <w:t>Habermann-Horstmeier, Lotte (2017): Public Health. Kompakte Einführung und Studienvorbereitung für alle Studienfächer im Gesundheitsbereich. Bern: Hogrefe.</w:t>
            </w:r>
          </w:p>
          <w:p w:rsidR="008B68E9" w:rsidRPr="002E7B2A" w:rsidRDefault="008B68E9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B68E9" w:rsidRPr="002E7B2A" w:rsidRDefault="008B68E9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E7B2A">
              <w:rPr>
                <w:rFonts w:cstheme="minorHAnsi"/>
                <w:color w:val="0070C0"/>
                <w:sz w:val="18"/>
                <w:szCs w:val="18"/>
              </w:rPr>
              <w:t>Klemperer, David (2015): Sozialmedizin-Public Health-Gesundheitswissenschaften. Bern: Hogrefe.</w:t>
            </w:r>
          </w:p>
          <w:p w:rsidR="008B68E9" w:rsidRPr="002E7B2A" w:rsidRDefault="008B68E9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B68E9" w:rsidRDefault="008B68E9" w:rsidP="002E7B2A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  <w:r w:rsidRPr="002E7B2A">
              <w:rPr>
                <w:rFonts w:cstheme="minorHAnsi"/>
                <w:color w:val="0070C0"/>
                <w:sz w:val="18"/>
                <w:szCs w:val="18"/>
              </w:rPr>
              <w:t>Bitzer,Eva/Spörhase, Ulrike (2015): Was macht Menschen gesundheitskompetent? Kompetenzerwerb aus pädagogischer und Public Health-Perpektive. In: Health Literacy/Gesundheitsförderung – Wissenschaftliche Definitionen, empirische Befunde und gesellschaftlicher Nutzen, BZgA, Bd. 20, Köln.</w:t>
            </w:r>
          </w:p>
          <w:p w:rsidR="008B68E9" w:rsidRDefault="008B68E9" w:rsidP="002E7B2A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</w:p>
          <w:p w:rsidR="008B68E9" w:rsidRDefault="008B68E9" w:rsidP="002E7B2A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2E7B2A">
              <w:rPr>
                <w:color w:val="0070C0"/>
                <w:sz w:val="18"/>
                <w:szCs w:val="18"/>
              </w:rPr>
              <w:t xml:space="preserve">Fässler, S.; Oetterli, M. (2015). Wirkungsevaluation von Interventionen: Leitfaden für den Bereich gesundes Körpergewicht. Gesundheitsförderung Schweiz Arbeitspapier 31, Bern und Lausanne. </w:t>
            </w:r>
          </w:p>
          <w:p w:rsidR="008B68E9" w:rsidRPr="002E7B2A" w:rsidRDefault="008B68E9" w:rsidP="002E7B2A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8B68E9" w:rsidRPr="002E7B2A" w:rsidRDefault="008B68E9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81557E" w:rsidRDefault="0081557E" w:rsidP="002B2823">
      <w:pPr>
        <w:rPr>
          <w:i/>
          <w:sz w:val="18"/>
          <w:szCs w:val="18"/>
          <w:lang w:val="de-AT"/>
        </w:rPr>
      </w:pPr>
    </w:p>
    <w:sectPr w:rsidR="0081557E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7C2" w:rsidRDefault="00B707C2" w:rsidP="002C78E9">
      <w:pPr>
        <w:spacing w:after="0" w:line="240" w:lineRule="auto"/>
      </w:pPr>
      <w:r>
        <w:separator/>
      </w:r>
    </w:p>
  </w:endnote>
  <w:endnote w:type="continuationSeparator" w:id="0">
    <w:p w:rsidR="00B707C2" w:rsidRDefault="00B707C2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14" w:rsidRDefault="009C41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4479BB">
      <w:rPr>
        <w:i/>
        <w:color w:val="808080" w:themeColor="background1" w:themeShade="80"/>
        <w:sz w:val="18"/>
        <w:szCs w:val="18"/>
      </w:rPr>
      <w:t>Endstand 16. Mai</w:t>
    </w:r>
    <w:r w:rsidR="008B68E9">
      <w:rPr>
        <w:i/>
        <w:color w:val="808080" w:themeColor="background1" w:themeShade="80"/>
        <w:sz w:val="18"/>
        <w:szCs w:val="18"/>
      </w:rPr>
      <w:t xml:space="preserve"> 2019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14" w:rsidRDefault="009C41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7C2" w:rsidRDefault="00B707C2" w:rsidP="002C78E9">
      <w:pPr>
        <w:spacing w:after="0" w:line="240" w:lineRule="auto"/>
      </w:pPr>
      <w:r>
        <w:separator/>
      </w:r>
    </w:p>
  </w:footnote>
  <w:footnote w:type="continuationSeparator" w:id="0">
    <w:p w:rsidR="00B707C2" w:rsidRDefault="00B707C2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14" w:rsidRDefault="009C41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14" w:rsidRDefault="009C41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B718B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21196"/>
    <w:multiLevelType w:val="hybridMultilevel"/>
    <w:tmpl w:val="DA882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D166F"/>
    <w:multiLevelType w:val="hybridMultilevel"/>
    <w:tmpl w:val="0B787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3574"/>
    <w:rsid w:val="0007480F"/>
    <w:rsid w:val="000774FE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936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15EA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6EA5"/>
    <w:rsid w:val="002E75E9"/>
    <w:rsid w:val="002E7B2A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479B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5B1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0B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557E"/>
    <w:rsid w:val="00816775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64836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68E9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00C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23DA8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4BE8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114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2A6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07C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82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2C2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D7F51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D5D36"/>
    <w:rsid w:val="00EE073E"/>
    <w:rsid w:val="00EE190B"/>
    <w:rsid w:val="00EE1DB9"/>
    <w:rsid w:val="00EE2EA0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377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B53B9"/>
  <w15:docId w15:val="{97E846AE-2E16-40A2-8B0D-4556321C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C1E1-01B4-4D3F-AB79-0CB04C1C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13</cp:revision>
  <cp:lastPrinted>2019-02-20T09:55:00Z</cp:lastPrinted>
  <dcterms:created xsi:type="dcterms:W3CDTF">2018-12-19T08:30:00Z</dcterms:created>
  <dcterms:modified xsi:type="dcterms:W3CDTF">2019-11-21T06:21:00Z</dcterms:modified>
</cp:coreProperties>
</file>