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975A15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2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975A15">
        <w:rPr>
          <w:rFonts w:ascii="Calibri" w:eastAsia="Calibri" w:hAnsi="Calibri" w:cs="Times New Roman"/>
          <w:color w:val="4F81BD" w:themeColor="accent1"/>
          <w:sz w:val="28"/>
          <w:szCs w:val="28"/>
        </w:rPr>
        <w:t>Einflussnahme auf Bedingungen von Gesundheit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CF416C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AC7519">
              <w:rPr>
                <w:b/>
                <w:color w:val="4F81BD" w:themeColor="accent1"/>
              </w:rPr>
              <w:t>„</w:t>
            </w:r>
            <w:r w:rsidR="004B5E24">
              <w:rPr>
                <w:b/>
                <w:color w:val="4F81BD" w:themeColor="accent1"/>
              </w:rPr>
              <w:t>individuelle und kollektive Gesundheitsrisiken</w:t>
            </w:r>
            <w:r w:rsidR="00761037" w:rsidRPr="00AC7519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EB2912" w:rsidRPr="00D800F0" w:rsidTr="00515532">
        <w:trPr>
          <w:trHeight w:val="3965"/>
        </w:trPr>
        <w:tc>
          <w:tcPr>
            <w:tcW w:w="4503" w:type="dxa"/>
          </w:tcPr>
          <w:p w:rsidR="00EB2912" w:rsidRPr="00EB2912" w:rsidRDefault="00EB291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Die Lernenden unterscheiden zwischen den Begriffen Risiko und Gefahr aus soziologischer Sicht</w:t>
            </w:r>
          </w:p>
          <w:p w:rsidR="00EB2912" w:rsidRPr="00EB2912" w:rsidRDefault="00EB291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B2912" w:rsidRPr="00EB2912" w:rsidRDefault="00EB2912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B2912" w:rsidRPr="00EB2912" w:rsidRDefault="00EB2912" w:rsidP="00AB0905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Die Lernenden erklären gesundheitliche Risikofaktoren der Migration und stellen allgemeine Gesundheitsrisiken mit der Biographie des Menschen in Zusammenhang</w:t>
            </w:r>
          </w:p>
        </w:tc>
        <w:tc>
          <w:tcPr>
            <w:tcW w:w="4819" w:type="dxa"/>
          </w:tcPr>
          <w:p w:rsidR="00EB2912" w:rsidRPr="00EB2912" w:rsidRDefault="00EB2912" w:rsidP="0051553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Risiko aus Sicht der Sozialwissenschaften</w:t>
            </w:r>
          </w:p>
          <w:p w:rsidR="00EB2912" w:rsidRPr="00EB2912" w:rsidRDefault="00EB2912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EB2912" w:rsidRPr="00EB2912" w:rsidRDefault="00EB2912" w:rsidP="0051553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Selektive Risikowahrnehmung</w:t>
            </w:r>
          </w:p>
          <w:p w:rsidR="00EB2912" w:rsidRPr="00EB2912" w:rsidRDefault="00EB2912" w:rsidP="00EB494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B2912" w:rsidRPr="00EB2912" w:rsidRDefault="00EB2912" w:rsidP="00EB4948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B2912" w:rsidRPr="00EB2912" w:rsidRDefault="00EB2912" w:rsidP="00515532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Gesundheitsrisiken von Migranten</w:t>
            </w:r>
          </w:p>
          <w:p w:rsidR="00EB2912" w:rsidRPr="00EB2912" w:rsidRDefault="00EB2912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EB2912" w:rsidRPr="00EB2912" w:rsidRDefault="00EB2912" w:rsidP="00515532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Gesundheitsrisiken im Zusammenhang mit der Biographie</w:t>
            </w:r>
          </w:p>
        </w:tc>
        <w:tc>
          <w:tcPr>
            <w:tcW w:w="3544" w:type="dxa"/>
          </w:tcPr>
          <w:p w:rsidR="00EB2912" w:rsidRPr="00EB2912" w:rsidRDefault="00EB2912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Beninghaus, L. et al (Hg.) (2016): Gesundheitsrisiken im gesellschaftlichen Diskurs. Bremen: EHV Academicpress</w:t>
            </w:r>
          </w:p>
          <w:p w:rsidR="00EB2912" w:rsidRPr="00EB2912" w:rsidRDefault="00EB2912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B2912" w:rsidRPr="00EB2912" w:rsidRDefault="00EB2912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Spallek, J./ Razum, O. (2016): Migration und Gesundheit. In: Richter, M. Hurrelmann, K. (Hg): Soziologie von Gesundheit und Krankheit. Berlin: Springer, S. 153-166.</w:t>
            </w:r>
          </w:p>
          <w:p w:rsidR="00EB2912" w:rsidRPr="00EB2912" w:rsidRDefault="00EB2912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EB2912" w:rsidRPr="00EB2912" w:rsidRDefault="00EB2912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Pfeffer, S. (2019): Krankheit und Biographie – Herausforderungen für die Lebensorientierung und Lebensführung. In: Haring, R. (Hg.): Gesundheitswissenschaften. Berlin: Springer. S. 165-177.</w:t>
            </w:r>
          </w:p>
        </w:tc>
        <w:tc>
          <w:tcPr>
            <w:tcW w:w="1561" w:type="dxa"/>
            <w:vMerge w:val="restart"/>
          </w:tcPr>
          <w:p w:rsidR="00EB2912" w:rsidRPr="00246913" w:rsidRDefault="00EB2912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46913">
              <w:rPr>
                <w:rFonts w:cstheme="minorHAnsi"/>
                <w:color w:val="0070C0"/>
                <w:sz w:val="18"/>
                <w:szCs w:val="18"/>
              </w:rPr>
              <w:t>2-6</w:t>
            </w:r>
          </w:p>
        </w:tc>
      </w:tr>
      <w:tr w:rsidR="00EB2912" w:rsidRPr="00223CC7" w:rsidTr="00761037">
        <w:tc>
          <w:tcPr>
            <w:tcW w:w="4503" w:type="dxa"/>
          </w:tcPr>
          <w:p w:rsidR="00EB2912" w:rsidRPr="00EB2912" w:rsidRDefault="00EB2912" w:rsidP="00515532">
            <w:pPr>
              <w:rPr>
                <w:color w:val="FF0000"/>
                <w:sz w:val="18"/>
                <w:szCs w:val="18"/>
              </w:rPr>
            </w:pPr>
            <w:r w:rsidRPr="00EB2912">
              <w:rPr>
                <w:color w:val="0070C0"/>
                <w:sz w:val="18"/>
                <w:szCs w:val="18"/>
              </w:rPr>
              <w:t>Die Lernenden stellen krankmachende Risikofaktoren im Lebenskontext dar und vergleichen individuelle als auch kollektive Ursachen von Risikofaktoren</w:t>
            </w:r>
          </w:p>
        </w:tc>
        <w:tc>
          <w:tcPr>
            <w:tcW w:w="4819" w:type="dxa"/>
          </w:tcPr>
          <w:p w:rsidR="00EB2912" w:rsidRPr="00EB2912" w:rsidRDefault="00EB2912" w:rsidP="006A5860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Risikofaktoren im Kindesalter</w:t>
            </w:r>
          </w:p>
          <w:p w:rsidR="00EB2912" w:rsidRPr="00EB2912" w:rsidRDefault="00EB2912" w:rsidP="006A5860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Risikofaktoren durch Veränderung von Lebens- und Umweltbedingungen im Alter</w:t>
            </w:r>
          </w:p>
          <w:p w:rsidR="00EB2912" w:rsidRPr="00EB2912" w:rsidRDefault="00EB2912" w:rsidP="006A5860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Risikoadaptierten Krebsfrüherkennung</w:t>
            </w:r>
          </w:p>
          <w:p w:rsidR="00EB2912" w:rsidRPr="00EB2912" w:rsidRDefault="00EB2912" w:rsidP="006A5860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Psychosoziale Stressoren</w:t>
            </w:r>
          </w:p>
          <w:p w:rsidR="00EB2912" w:rsidRPr="00EB2912" w:rsidRDefault="00EB2912" w:rsidP="006A5860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Krankheiten durch chronischen Stress</w:t>
            </w:r>
          </w:p>
          <w:p w:rsidR="00EB2912" w:rsidRPr="00EB2912" w:rsidRDefault="00EB2912" w:rsidP="006A5860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Faktoren für ein erhöhtes Suizidrisiko</w:t>
            </w:r>
          </w:p>
          <w:p w:rsidR="00EB2912" w:rsidRPr="00EB2912" w:rsidRDefault="00EB2912" w:rsidP="006A5860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Modell zur Entwicklung schädlichen Substanzkonsums und Glücksspielens</w:t>
            </w:r>
          </w:p>
          <w:p w:rsidR="00EB2912" w:rsidRPr="00EB2912" w:rsidRDefault="00EB2912" w:rsidP="006A5860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Arbeitsplatzbezogene Risikofaktoren</w:t>
            </w:r>
          </w:p>
          <w:p w:rsidR="00EB2912" w:rsidRDefault="00EB2912" w:rsidP="005F2BF8">
            <w:pPr>
              <w:pStyle w:val="Listenabsatz"/>
              <w:numPr>
                <w:ilvl w:val="0"/>
                <w:numId w:val="9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>Soziale Ungleichheit als kollektives Gesundheitsrisiko</w:t>
            </w:r>
          </w:p>
          <w:p w:rsidR="00EB2912" w:rsidRPr="00EB2912" w:rsidRDefault="00EB2912" w:rsidP="00EB2912">
            <w:pPr>
              <w:pStyle w:val="Listenabsatz"/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EB2912" w:rsidRPr="00EB2912" w:rsidRDefault="00EB2912" w:rsidP="00223CC7">
            <w:pPr>
              <w:ind w:left="14"/>
              <w:rPr>
                <w:rFonts w:cstheme="minorHAnsi"/>
                <w:color w:val="0070C0"/>
                <w:sz w:val="18"/>
                <w:szCs w:val="18"/>
              </w:rPr>
            </w:pPr>
            <w:r w:rsidRPr="00EB2912">
              <w:rPr>
                <w:rFonts w:cstheme="minorHAnsi"/>
                <w:color w:val="0070C0"/>
                <w:sz w:val="18"/>
                <w:szCs w:val="18"/>
              </w:rPr>
              <w:t xml:space="preserve">Hurrelmann, K. et al (Hg.) (2018): Referenzwerk Prävention und Gesundheitsförderung. Grundlagen, Konzepte und Umsetzungsstrategien. Bern. Hogrefe.                                                            </w:t>
            </w:r>
          </w:p>
        </w:tc>
        <w:tc>
          <w:tcPr>
            <w:tcW w:w="1561" w:type="dxa"/>
            <w:vMerge/>
          </w:tcPr>
          <w:p w:rsidR="00EB2912" w:rsidRPr="00223CC7" w:rsidRDefault="00EB2912" w:rsidP="00AB0905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sectPr w:rsidR="00761037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51B" w:rsidRDefault="0035751B" w:rsidP="002C78E9">
      <w:pPr>
        <w:spacing w:after="0" w:line="240" w:lineRule="auto"/>
      </w:pPr>
      <w:r>
        <w:separator/>
      </w:r>
    </w:p>
  </w:endnote>
  <w:endnote w:type="continuationSeparator" w:id="0">
    <w:p w:rsidR="0035751B" w:rsidRDefault="0035751B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1F6" w:rsidRDefault="000331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204053">
      <w:rPr>
        <w:i/>
        <w:color w:val="808080" w:themeColor="background1" w:themeShade="80"/>
        <w:sz w:val="18"/>
        <w:szCs w:val="18"/>
      </w:rPr>
      <w:t>29.09.20</w:t>
    </w:r>
    <w:r w:rsidR="00626A0E">
      <w:rPr>
        <w:i/>
        <w:color w:val="808080" w:themeColor="background1" w:themeShade="80"/>
        <w:sz w:val="18"/>
        <w:szCs w:val="18"/>
      </w:rPr>
      <w:t>1</w:t>
    </w:r>
    <w:bookmarkStart w:id="0" w:name="_GoBack"/>
    <w:bookmarkEnd w:id="0"/>
    <w:r w:rsidR="00204053">
      <w:rPr>
        <w:i/>
        <w:color w:val="808080" w:themeColor="background1" w:themeShade="80"/>
        <w:sz w:val="18"/>
        <w:szCs w:val="18"/>
      </w:rPr>
      <w:t xml:space="preserve">9 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1F6" w:rsidRDefault="000331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51B" w:rsidRDefault="0035751B" w:rsidP="002C78E9">
      <w:pPr>
        <w:spacing w:after="0" w:line="240" w:lineRule="auto"/>
      </w:pPr>
      <w:r>
        <w:separator/>
      </w:r>
    </w:p>
  </w:footnote>
  <w:footnote w:type="continuationSeparator" w:id="0">
    <w:p w:rsidR="0035751B" w:rsidRDefault="0035751B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1F6" w:rsidRDefault="000331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1F6" w:rsidRDefault="000331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0E7A82"/>
    <w:multiLevelType w:val="hybridMultilevel"/>
    <w:tmpl w:val="1DC208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3F60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31F6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6F84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4A20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4053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46913"/>
    <w:rsid w:val="0025073A"/>
    <w:rsid w:val="002547EA"/>
    <w:rsid w:val="00255203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51B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4F1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3648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303C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553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22D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2BF8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A0E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4B10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A572B"/>
    <w:rsid w:val="006A5860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48CA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5FF4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1F5B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25B6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2E12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1DE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6E12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56EF"/>
    <w:rsid w:val="00CA65FD"/>
    <w:rsid w:val="00CA69A9"/>
    <w:rsid w:val="00CB1744"/>
    <w:rsid w:val="00CB17CE"/>
    <w:rsid w:val="00CB5E24"/>
    <w:rsid w:val="00CB786D"/>
    <w:rsid w:val="00CC06F6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272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4135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2912"/>
    <w:rsid w:val="00EB4948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409F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3AA6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EA5AD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676D-E78E-4FC4-AE8B-BCE63BEA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23</cp:revision>
  <cp:lastPrinted>2018-12-04T14:42:00Z</cp:lastPrinted>
  <dcterms:created xsi:type="dcterms:W3CDTF">2019-08-12T10:24:00Z</dcterms:created>
  <dcterms:modified xsi:type="dcterms:W3CDTF">2019-12-01T06:08:00Z</dcterms:modified>
</cp:coreProperties>
</file>