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9B2D12">
        <w:rPr>
          <w:i/>
          <w:color w:val="808080" w:themeColor="background1" w:themeShade="80"/>
          <w:sz w:val="28"/>
          <w:szCs w:val="28"/>
        </w:rPr>
        <w:t xml:space="preserve"> 01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9B2D12">
        <w:rPr>
          <w:color w:val="4F81BD" w:themeColor="accent1"/>
          <w:sz w:val="28"/>
          <w:szCs w:val="28"/>
        </w:rPr>
        <w:t>„</w:t>
      </w:r>
      <w:r>
        <w:rPr>
          <w:color w:val="4F81BD" w:themeColor="accent1"/>
          <w:sz w:val="28"/>
          <w:szCs w:val="28"/>
        </w:rPr>
        <w:t>Fakten zur Gesundheitskompetenz“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314AC0">
              <w:rPr>
                <w:b/>
                <w:color w:val="4F81BD" w:themeColor="accent1"/>
              </w:rPr>
              <w:t>Messung von Gesundheitskompetenz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61037" w:rsidTr="00761037">
        <w:tc>
          <w:tcPr>
            <w:tcW w:w="4503" w:type="dxa"/>
          </w:tcPr>
          <w:p w:rsidR="00761037" w:rsidRPr="0013649E" w:rsidRDefault="00314AC0" w:rsidP="0051227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51227D" w:rsidRPr="0013649E">
              <w:rPr>
                <w:rFonts w:cstheme="minorHAnsi"/>
                <w:color w:val="0070C0"/>
                <w:sz w:val="18"/>
                <w:szCs w:val="18"/>
              </w:rPr>
              <w:t>können die Datene</w:t>
            </w:r>
            <w:r w:rsidR="0018428A" w:rsidRPr="0013649E">
              <w:rPr>
                <w:rFonts w:cstheme="minorHAnsi"/>
                <w:color w:val="0070C0"/>
                <w:sz w:val="18"/>
                <w:szCs w:val="18"/>
              </w:rPr>
              <w:t>rhebungs</w:t>
            </w:r>
            <w:r w:rsidR="0051227D" w:rsidRPr="0013649E">
              <w:rPr>
                <w:rFonts w:cstheme="minorHAnsi"/>
                <w:color w:val="0070C0"/>
                <w:sz w:val="18"/>
                <w:szCs w:val="18"/>
              </w:rPr>
              <w:t>- und Auswertungs</w:t>
            </w:r>
            <w:r w:rsidR="0018428A" w:rsidRPr="0013649E">
              <w:rPr>
                <w:rFonts w:cstheme="minorHAnsi"/>
                <w:color w:val="0070C0"/>
                <w:sz w:val="18"/>
                <w:szCs w:val="18"/>
              </w:rPr>
              <w:t>instrument</w:t>
            </w:r>
            <w:r w:rsidR="0051227D" w:rsidRPr="0013649E">
              <w:rPr>
                <w:rFonts w:cstheme="minorHAnsi"/>
                <w:color w:val="0070C0"/>
                <w:sz w:val="18"/>
                <w:szCs w:val="18"/>
              </w:rPr>
              <w:t xml:space="preserve">e des HLS-EU-Q 47 und des HLS-EU-Q16 erklären und beurteilen </w:t>
            </w:r>
          </w:p>
        </w:tc>
        <w:tc>
          <w:tcPr>
            <w:tcW w:w="4819" w:type="dxa"/>
          </w:tcPr>
          <w:p w:rsidR="00761037" w:rsidRPr="0013649E" w:rsidRDefault="00A2171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Gesundheitskompetenzmatrix</w:t>
            </w:r>
          </w:p>
          <w:p w:rsidR="00A21716" w:rsidRPr="0013649E" w:rsidRDefault="00A2171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Items des HLS-EU-Q 47 und des HLS-EU-Q 16</w:t>
            </w:r>
          </w:p>
          <w:p w:rsidR="00A21716" w:rsidRPr="0013649E" w:rsidRDefault="00CA0F51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Methodik</w:t>
            </w:r>
            <w:r w:rsidR="00A21716" w:rsidRPr="0013649E">
              <w:rPr>
                <w:rFonts w:cstheme="minorHAnsi"/>
                <w:color w:val="0070C0"/>
                <w:sz w:val="18"/>
                <w:szCs w:val="18"/>
              </w:rPr>
              <w:t xml:space="preserve"> der Datenerhebung – Fragebogenkonstrukt: wo liegen die Vorteile und wo </w:t>
            </w:r>
            <w:r w:rsidRPr="0013649E">
              <w:rPr>
                <w:rFonts w:cstheme="minorHAnsi"/>
                <w:color w:val="0070C0"/>
                <w:sz w:val="18"/>
                <w:szCs w:val="18"/>
              </w:rPr>
              <w:t>werden</w:t>
            </w:r>
            <w:r w:rsidR="00A21716" w:rsidRPr="0013649E">
              <w:rPr>
                <w:rFonts w:cstheme="minorHAnsi"/>
                <w:color w:val="0070C0"/>
                <w:sz w:val="18"/>
                <w:szCs w:val="18"/>
              </w:rPr>
              <w:t xml:space="preserve"> Grenzen </w:t>
            </w:r>
            <w:r w:rsidRPr="0013649E">
              <w:rPr>
                <w:rFonts w:cstheme="minorHAnsi"/>
                <w:color w:val="0070C0"/>
                <w:sz w:val="18"/>
                <w:szCs w:val="18"/>
              </w:rPr>
              <w:t>erreicht</w:t>
            </w:r>
          </w:p>
          <w:p w:rsidR="00A21716" w:rsidRDefault="00CA0F51" w:rsidP="00CA0F5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Methodik der Datenauswertung und Interpretation</w:t>
            </w:r>
          </w:p>
          <w:p w:rsidR="0013649E" w:rsidRPr="0013649E" w:rsidRDefault="0013649E" w:rsidP="00CA0F5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76A0" w:rsidRPr="0013649E" w:rsidRDefault="00F576A0" w:rsidP="00D669F0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13649E">
              <w:rPr>
                <w:rFonts w:cstheme="minorHAnsi"/>
                <w:color w:val="0070C0"/>
                <w:sz w:val="18"/>
                <w:szCs w:val="18"/>
                <w:lang w:val="en-US"/>
              </w:rPr>
              <w:t>Pelikan</w:t>
            </w:r>
            <w:proofErr w:type="spellEnd"/>
            <w:r w:rsidRPr="0013649E">
              <w:rPr>
                <w:rFonts w:cstheme="minorHAnsi"/>
                <w:color w:val="0070C0"/>
                <w:sz w:val="18"/>
                <w:szCs w:val="18"/>
                <w:lang w:val="en-US"/>
              </w:rPr>
              <w:t>, J. M.</w:t>
            </w:r>
            <w:r w:rsidR="0013649E">
              <w:rPr>
                <w:rFonts w:cstheme="minorHAnsi"/>
                <w:color w:val="0070C0"/>
                <w:sz w:val="18"/>
                <w:szCs w:val="18"/>
                <w:lang w:val="en-US"/>
              </w:rPr>
              <w:t>/</w:t>
            </w:r>
            <w:r w:rsidRPr="0013649E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Schaeffer, D. (Hg.) (2017): Health Literacy. </w:t>
            </w:r>
            <w:r w:rsidRPr="0013649E">
              <w:rPr>
                <w:rFonts w:cstheme="minorHAnsi"/>
                <w:color w:val="0070C0"/>
                <w:sz w:val="18"/>
                <w:szCs w:val="18"/>
              </w:rPr>
              <w:t>Forschungsstand und Perspektiven. Hogrefe AG: Bern (S. 93 – 125)</w:t>
            </w:r>
          </w:p>
          <w:p w:rsidR="00761037" w:rsidRPr="0013649E" w:rsidRDefault="00761037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761037" w:rsidRPr="0013649E" w:rsidRDefault="000B7C6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  <w:tr w:rsidR="00CA0F51" w:rsidTr="00761037">
        <w:tc>
          <w:tcPr>
            <w:tcW w:w="4503" w:type="dxa"/>
          </w:tcPr>
          <w:p w:rsidR="00CA0F51" w:rsidRPr="0013649E" w:rsidRDefault="00CA0F51" w:rsidP="00ED62C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 xml:space="preserve">Die Lernenden können die Datenerhebungs- und Auswertungsinstrumente der </w:t>
            </w:r>
            <w:r w:rsidR="000B7C6D" w:rsidRPr="0013649E">
              <w:rPr>
                <w:rFonts w:cstheme="minorHAnsi"/>
                <w:color w:val="0070C0"/>
                <w:sz w:val="18"/>
                <w:szCs w:val="18"/>
              </w:rPr>
              <w:t xml:space="preserve">Gesundheitskompetenz-Jugendstudie </w:t>
            </w:r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 xml:space="preserve">mit dem European Health </w:t>
            </w:r>
            <w:proofErr w:type="spellStart"/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>Literacy</w:t>
            </w:r>
            <w:proofErr w:type="spellEnd"/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 xml:space="preserve"> Survey </w:t>
            </w:r>
            <w:r w:rsidR="000B7C6D" w:rsidRPr="0013649E">
              <w:rPr>
                <w:rFonts w:cstheme="minorHAnsi"/>
                <w:color w:val="0070C0"/>
                <w:sz w:val="18"/>
                <w:szCs w:val="18"/>
              </w:rPr>
              <w:t>vergleichen</w:t>
            </w:r>
          </w:p>
        </w:tc>
        <w:tc>
          <w:tcPr>
            <w:tcW w:w="4819" w:type="dxa"/>
          </w:tcPr>
          <w:p w:rsidR="00CA0F51" w:rsidRPr="0013649E" w:rsidRDefault="000B7C6D" w:rsidP="000B7C6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Unterschiede und Gemeinsamkeiten</w:t>
            </w:r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 xml:space="preserve"> mit der</w:t>
            </w:r>
            <w:r w:rsidRPr="0013649E">
              <w:rPr>
                <w:rFonts w:cstheme="minorHAnsi"/>
                <w:color w:val="0070C0"/>
                <w:sz w:val="18"/>
                <w:szCs w:val="18"/>
              </w:rPr>
              <w:t xml:space="preserve"> HLS-EU-Studie </w:t>
            </w:r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>herausarbeiten</w:t>
            </w:r>
          </w:p>
        </w:tc>
        <w:tc>
          <w:tcPr>
            <w:tcW w:w="3544" w:type="dxa"/>
          </w:tcPr>
          <w:p w:rsidR="00F576A0" w:rsidRPr="0013649E" w:rsidRDefault="00F576A0" w:rsidP="00D669F0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Pelikan, J. M. </w:t>
            </w:r>
            <w:r w:rsid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Schaeffer, D. (</w:t>
            </w:r>
            <w:proofErr w:type="spellStart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Hg</w:t>
            </w:r>
            <w:proofErr w:type="spellEnd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.) (2017): Health </w:t>
            </w:r>
            <w:proofErr w:type="spellStart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Literacy</w:t>
            </w:r>
            <w:proofErr w:type="spellEnd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 </w:t>
            </w:r>
            <w:r w:rsidRPr="0013649E">
              <w:rPr>
                <w:rFonts w:cstheme="minorHAnsi"/>
                <w:color w:val="0070C0"/>
                <w:sz w:val="18"/>
                <w:szCs w:val="18"/>
              </w:rPr>
              <w:t>Forschungsstand und Perspektiven. Hogrefe AG: Bern (S. 175 – 188)</w:t>
            </w:r>
          </w:p>
          <w:p w:rsidR="00CA0F51" w:rsidRPr="0013649E" w:rsidRDefault="00CA0F51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CA0F51" w:rsidRPr="0013649E" w:rsidRDefault="000B7C6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  <w:tr w:rsidR="00761037" w:rsidTr="00761037">
        <w:tc>
          <w:tcPr>
            <w:tcW w:w="4503" w:type="dxa"/>
          </w:tcPr>
          <w:p w:rsidR="00761037" w:rsidRPr="0013649E" w:rsidRDefault="00CA0F51" w:rsidP="00ED62C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Die Lernenden können die Ergebnisse der österreichischen Gesundheitskompetenz-Jugendstudie benennen und mit</w:t>
            </w:r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 xml:space="preserve"> dem European Health </w:t>
            </w:r>
            <w:proofErr w:type="spellStart"/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>Literacy</w:t>
            </w:r>
            <w:proofErr w:type="spellEnd"/>
            <w:r w:rsidR="00ED62C4" w:rsidRPr="0013649E">
              <w:rPr>
                <w:rFonts w:cstheme="minorHAnsi"/>
                <w:color w:val="0070C0"/>
                <w:sz w:val="18"/>
                <w:szCs w:val="18"/>
              </w:rPr>
              <w:t xml:space="preserve"> Survey</w:t>
            </w:r>
            <w:r w:rsidRPr="0013649E">
              <w:rPr>
                <w:rFonts w:cstheme="minorHAnsi"/>
                <w:color w:val="0070C0"/>
                <w:sz w:val="18"/>
                <w:szCs w:val="18"/>
              </w:rPr>
              <w:t xml:space="preserve"> vergleichen</w:t>
            </w:r>
          </w:p>
        </w:tc>
        <w:tc>
          <w:tcPr>
            <w:tcW w:w="4819" w:type="dxa"/>
          </w:tcPr>
          <w:p w:rsidR="00761037" w:rsidRPr="0013649E" w:rsidRDefault="00CA0F51" w:rsidP="000B7C6D">
            <w:pPr>
              <w:ind w:left="-17"/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Ergebnisse der österreichischen Gesundheitskompetenz-Jugendstudie</w:t>
            </w:r>
          </w:p>
          <w:p w:rsidR="00CA0F51" w:rsidRPr="0013649E" w:rsidRDefault="000B7C6D" w:rsidP="000B7C6D">
            <w:pPr>
              <w:ind w:left="-17"/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Diskussion und Vergleich mit den Ergebnissen der</w:t>
            </w:r>
            <w:r w:rsidR="00CA0F51" w:rsidRPr="0013649E">
              <w:rPr>
                <w:rFonts w:cstheme="minorHAnsi"/>
                <w:color w:val="0070C0"/>
                <w:sz w:val="18"/>
                <w:szCs w:val="18"/>
              </w:rPr>
              <w:t xml:space="preserve"> HLS-EU-Studie</w:t>
            </w:r>
          </w:p>
          <w:p w:rsidR="000B7C6D" w:rsidRPr="0013649E" w:rsidRDefault="000B7C6D" w:rsidP="000B7C6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drei Arten von Konsequenzen der Gesundheitskompetenz</w:t>
            </w:r>
          </w:p>
          <w:p w:rsidR="000B7C6D" w:rsidRPr="0013649E" w:rsidRDefault="000B7C6D" w:rsidP="000B7C6D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Gesundheitsverhalten und -risiken</w:t>
            </w:r>
          </w:p>
          <w:p w:rsidR="000B7C6D" w:rsidRPr="0013649E" w:rsidRDefault="000B7C6D" w:rsidP="000B7C6D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Selbst eingeschätzter Gesundheitsstatus</w:t>
            </w:r>
          </w:p>
          <w:p w:rsidR="000B7C6D" w:rsidRPr="0013649E" w:rsidRDefault="000B7C6D" w:rsidP="000B7C6D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Inanspruchnahme des Krankenbehandlungssystems</w:t>
            </w:r>
          </w:p>
          <w:p w:rsidR="000B7C6D" w:rsidRPr="0013649E" w:rsidRDefault="000B7C6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76A0" w:rsidRPr="0013649E" w:rsidRDefault="00F576A0" w:rsidP="00D669F0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Pelikan, J. M. </w:t>
            </w:r>
            <w:r w:rsid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Schaeffer, D. (</w:t>
            </w:r>
            <w:proofErr w:type="spellStart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Hg</w:t>
            </w:r>
            <w:proofErr w:type="spellEnd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.) (2017): Health </w:t>
            </w:r>
            <w:proofErr w:type="spellStart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>Literacy</w:t>
            </w:r>
            <w:proofErr w:type="spellEnd"/>
            <w:r w:rsidRPr="0013649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 </w:t>
            </w:r>
            <w:r w:rsidRPr="0013649E">
              <w:rPr>
                <w:rFonts w:cstheme="minorHAnsi"/>
                <w:color w:val="0070C0"/>
                <w:sz w:val="18"/>
                <w:szCs w:val="18"/>
              </w:rPr>
              <w:t>Forschungsstand und Perspektiven. Hogrefe AG: Bern (S. 175 – 188)</w:t>
            </w:r>
          </w:p>
          <w:p w:rsidR="00761037" w:rsidRPr="0013649E" w:rsidRDefault="00761037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761037" w:rsidRPr="0013649E" w:rsidRDefault="000B7C6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3649E">
              <w:rPr>
                <w:rFonts w:cstheme="minorHAnsi"/>
                <w:color w:val="0070C0"/>
                <w:sz w:val="18"/>
                <w:szCs w:val="18"/>
              </w:rPr>
              <w:t>5</w:t>
            </w:r>
          </w:p>
        </w:tc>
      </w:tr>
    </w:tbl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8DC" w:rsidRDefault="006828DC" w:rsidP="002C78E9">
      <w:pPr>
        <w:spacing w:after="0" w:line="240" w:lineRule="auto"/>
      </w:pPr>
      <w:r>
        <w:separator/>
      </w:r>
    </w:p>
  </w:endnote>
  <w:endnote w:type="continuationSeparator" w:id="0">
    <w:p w:rsidR="006828DC" w:rsidRDefault="006828DC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B7" w:rsidRDefault="001C2B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B7" w:rsidRDefault="001C2BB7" w:rsidP="001C2BB7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04.12.2018</w:t>
    </w:r>
  </w:p>
  <w:p w:rsidR="002C78E9" w:rsidRPr="001C2BB7" w:rsidRDefault="002C78E9" w:rsidP="001C2BB7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B7" w:rsidRDefault="001C2B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8DC" w:rsidRDefault="006828DC" w:rsidP="002C78E9">
      <w:pPr>
        <w:spacing w:after="0" w:line="240" w:lineRule="auto"/>
      </w:pPr>
      <w:r>
        <w:separator/>
      </w:r>
    </w:p>
  </w:footnote>
  <w:footnote w:type="continuationSeparator" w:id="0">
    <w:p w:rsidR="006828DC" w:rsidRDefault="006828DC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B7" w:rsidRDefault="001C2B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B7" w:rsidRDefault="001C2B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315"/>
    <w:multiLevelType w:val="hybridMultilevel"/>
    <w:tmpl w:val="50F4F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525"/>
    <w:multiLevelType w:val="hybridMultilevel"/>
    <w:tmpl w:val="A0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17C"/>
    <w:multiLevelType w:val="hybridMultilevel"/>
    <w:tmpl w:val="93A8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7CBC"/>
    <w:multiLevelType w:val="hybridMultilevel"/>
    <w:tmpl w:val="3054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054528"/>
    <w:multiLevelType w:val="hybridMultilevel"/>
    <w:tmpl w:val="45DC8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B7C6D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3649E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28A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BB7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224F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4AC0"/>
    <w:rsid w:val="00316555"/>
    <w:rsid w:val="003178A9"/>
    <w:rsid w:val="00323B60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27D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5BD9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28DC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06D1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67F25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001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2972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A67"/>
    <w:rsid w:val="009631E1"/>
    <w:rsid w:val="0096381B"/>
    <w:rsid w:val="00963C3B"/>
    <w:rsid w:val="00965437"/>
    <w:rsid w:val="00966993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2D12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716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1861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251F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0F5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41F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69F0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D62C4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3A87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576A0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E4F6C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7E7B-2B9D-48EE-9B30-2409620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5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55EB-D6B2-4D16-A5EA-FB37179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2019-08-12T10:01:00Z</dcterms:created>
  <dcterms:modified xsi:type="dcterms:W3CDTF">2019-11-21T06:32:00Z</dcterms:modified>
</cp:coreProperties>
</file>