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5F3209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1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5F3209">
        <w:rPr>
          <w:rFonts w:ascii="Calibri" w:eastAsia="Calibri" w:hAnsi="Calibri" w:cs="Times New Roman"/>
          <w:color w:val="4F81BD" w:themeColor="accent1"/>
          <w:sz w:val="28"/>
          <w:szCs w:val="28"/>
        </w:rPr>
        <w:t>Fakten zur Gesundheitskompetenz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1958E2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1958E2">
              <w:rPr>
                <w:b/>
                <w:color w:val="4F81BD" w:themeColor="accent1"/>
              </w:rPr>
              <w:t>„</w:t>
            </w:r>
            <w:r w:rsidR="007F2206" w:rsidRPr="001958E2">
              <w:rPr>
                <w:b/>
                <w:color w:val="4F81BD" w:themeColor="accent1"/>
              </w:rPr>
              <w:t>Definitionszugänge und Definitionsvielfalt</w:t>
            </w:r>
            <w:r w:rsidR="00761037" w:rsidRPr="001958E2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D800F0" w:rsidRPr="00D800F0" w:rsidTr="00761037">
        <w:tc>
          <w:tcPr>
            <w:tcW w:w="4503" w:type="dxa"/>
          </w:tcPr>
          <w:p w:rsidR="00596D8A" w:rsidRPr="001958E2" w:rsidRDefault="00683862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958E2">
              <w:rPr>
                <w:rFonts w:cstheme="minorHAnsi"/>
                <w:color w:val="0070C0"/>
                <w:sz w:val="18"/>
                <w:szCs w:val="18"/>
              </w:rPr>
              <w:t xml:space="preserve">Die Lernenden vergleichen unterschiedliche Definitionen des Begriffes „Gesundheitskompetenz“ und können die Definitionsvielfalt kritisch </w:t>
            </w:r>
            <w:r w:rsidR="00DA6817" w:rsidRPr="001958E2">
              <w:rPr>
                <w:rFonts w:cstheme="minorHAnsi"/>
                <w:color w:val="0070C0"/>
                <w:sz w:val="18"/>
                <w:szCs w:val="18"/>
              </w:rPr>
              <w:t>reflektieren</w:t>
            </w:r>
          </w:p>
        </w:tc>
        <w:tc>
          <w:tcPr>
            <w:tcW w:w="4819" w:type="dxa"/>
          </w:tcPr>
          <w:p w:rsidR="002E5873" w:rsidRPr="001958E2" w:rsidRDefault="002E5873" w:rsidP="001958E2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958E2">
              <w:rPr>
                <w:rFonts w:cstheme="minorHAnsi"/>
                <w:color w:val="0070C0"/>
                <w:sz w:val="18"/>
                <w:szCs w:val="18"/>
              </w:rPr>
              <w:t>Grundverständnis von Gesundheit</w:t>
            </w:r>
          </w:p>
          <w:p w:rsidR="002E5873" w:rsidRPr="001958E2" w:rsidRDefault="002E5873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2E5873" w:rsidRPr="001958E2" w:rsidRDefault="002E5873" w:rsidP="001958E2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958E2">
              <w:rPr>
                <w:rFonts w:cstheme="minorHAnsi"/>
                <w:color w:val="0070C0"/>
                <w:sz w:val="18"/>
                <w:szCs w:val="18"/>
              </w:rPr>
              <w:t>Kritische Gesundheitskompetenz</w:t>
            </w:r>
          </w:p>
          <w:p w:rsidR="002E5873" w:rsidRPr="001958E2" w:rsidRDefault="002E5873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96D8A" w:rsidRPr="001958E2" w:rsidRDefault="00683862" w:rsidP="001958E2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958E2">
              <w:rPr>
                <w:rFonts w:cstheme="minorHAnsi"/>
                <w:color w:val="0070C0"/>
                <w:sz w:val="18"/>
                <w:szCs w:val="18"/>
              </w:rPr>
              <w:t>Defin</w:t>
            </w:r>
            <w:r w:rsidR="00DA6817" w:rsidRPr="001958E2">
              <w:rPr>
                <w:rFonts w:cstheme="minorHAnsi"/>
                <w:color w:val="0070C0"/>
                <w:sz w:val="18"/>
                <w:szCs w:val="18"/>
              </w:rPr>
              <w:t>iti</w:t>
            </w:r>
            <w:r w:rsidRPr="001958E2">
              <w:rPr>
                <w:rFonts w:cstheme="minorHAnsi"/>
                <w:color w:val="0070C0"/>
                <w:sz w:val="18"/>
                <w:szCs w:val="18"/>
              </w:rPr>
              <w:t xml:space="preserve">onen gemäß WHO, Nutbeam, Sorensen et al, </w:t>
            </w:r>
            <w:r w:rsidR="00DA6817" w:rsidRPr="001958E2">
              <w:rPr>
                <w:rFonts w:cstheme="minorHAnsi"/>
                <w:color w:val="0070C0"/>
                <w:sz w:val="18"/>
                <w:szCs w:val="18"/>
              </w:rPr>
              <w:t>Parker, Pelikan u.a.</w:t>
            </w:r>
          </w:p>
        </w:tc>
        <w:tc>
          <w:tcPr>
            <w:tcW w:w="3544" w:type="dxa"/>
          </w:tcPr>
          <w:p w:rsidR="00BC45FE" w:rsidRPr="001958E2" w:rsidRDefault="00BC45FE" w:rsidP="00DA6817">
            <w:pPr>
              <w:rPr>
                <w:color w:val="0070C0"/>
                <w:sz w:val="18"/>
                <w:szCs w:val="18"/>
              </w:rPr>
            </w:pPr>
            <w:r w:rsidRPr="001958E2">
              <w:rPr>
                <w:color w:val="0070C0"/>
                <w:sz w:val="18"/>
                <w:szCs w:val="18"/>
              </w:rPr>
              <w:t>Abel, T. (2015):</w:t>
            </w:r>
            <w:r w:rsidR="00CE2DB7" w:rsidRPr="001958E2">
              <w:rPr>
                <w:color w:val="0070C0"/>
                <w:sz w:val="18"/>
                <w:szCs w:val="18"/>
              </w:rPr>
              <w:t xml:space="preserve"> Gesundheitskompetenz/Health Literacy: Von Definitionen über Konzepte zu den Operationalisierungen – und zurück. In: Health Literacy/Gesundheitsförderung – Wissenschaftliche Definitionen, empirische Befunde und gesellschaftlicher Nutzen, BzGA, </w:t>
            </w:r>
            <w:r w:rsidR="002E5873" w:rsidRPr="001958E2">
              <w:rPr>
                <w:color w:val="0070C0"/>
                <w:sz w:val="18"/>
                <w:szCs w:val="18"/>
              </w:rPr>
              <w:t xml:space="preserve">Gesundheitsförderung konkret, </w:t>
            </w:r>
            <w:r w:rsidR="00CE2DB7" w:rsidRPr="001958E2">
              <w:rPr>
                <w:color w:val="0070C0"/>
                <w:sz w:val="18"/>
                <w:szCs w:val="18"/>
              </w:rPr>
              <w:t xml:space="preserve">Bd. 20, Köln, S. </w:t>
            </w:r>
            <w:r w:rsidR="002E5873" w:rsidRPr="001958E2">
              <w:rPr>
                <w:color w:val="0070C0"/>
                <w:sz w:val="18"/>
                <w:szCs w:val="18"/>
              </w:rPr>
              <w:t>13-20.</w:t>
            </w:r>
          </w:p>
          <w:p w:rsidR="00BC45FE" w:rsidRPr="001958E2" w:rsidRDefault="00BC45FE" w:rsidP="00DA6817">
            <w:pPr>
              <w:rPr>
                <w:color w:val="0070C0"/>
                <w:sz w:val="18"/>
                <w:szCs w:val="18"/>
              </w:rPr>
            </w:pPr>
          </w:p>
          <w:p w:rsidR="00DA6817" w:rsidRPr="001958E2" w:rsidRDefault="00DA6817" w:rsidP="00DA6817">
            <w:pPr>
              <w:rPr>
                <w:color w:val="0070C0"/>
                <w:sz w:val="18"/>
                <w:szCs w:val="18"/>
              </w:rPr>
            </w:pPr>
            <w:r w:rsidRPr="001958E2">
              <w:rPr>
                <w:color w:val="0070C0"/>
                <w:sz w:val="18"/>
                <w:szCs w:val="18"/>
              </w:rPr>
              <w:t>Bauer, R. &amp; Wesenauer, A. (Hg.) (2015): Zukunftsmotor Gesundheit. Entwürfe für das Gesundheitssystem von morgen. Wiesbaden: Springer</w:t>
            </w:r>
          </w:p>
          <w:p w:rsidR="00DA6817" w:rsidRPr="001958E2" w:rsidRDefault="00DA6817" w:rsidP="00DA6817">
            <w:pPr>
              <w:rPr>
                <w:color w:val="0070C0"/>
                <w:sz w:val="18"/>
                <w:szCs w:val="18"/>
              </w:rPr>
            </w:pPr>
          </w:p>
          <w:p w:rsidR="00DA6817" w:rsidRPr="001958E2" w:rsidRDefault="00DA6817" w:rsidP="00DA6817">
            <w:pPr>
              <w:rPr>
                <w:color w:val="0070C0"/>
                <w:sz w:val="18"/>
                <w:szCs w:val="18"/>
              </w:rPr>
            </w:pPr>
            <w:r w:rsidRPr="001958E2">
              <w:rPr>
                <w:color w:val="0070C0"/>
                <w:sz w:val="18"/>
                <w:szCs w:val="18"/>
              </w:rPr>
              <w:t>Schaeffer, D.; Pelikan, J. (Hg). (2017): Health Literacy. Forschungsstand und Perspektiven</w:t>
            </w:r>
            <w:r w:rsidR="00BC45FE" w:rsidRPr="001958E2">
              <w:rPr>
                <w:color w:val="0070C0"/>
                <w:sz w:val="18"/>
                <w:szCs w:val="18"/>
              </w:rPr>
              <w:t>. Bern: Hogrefe</w:t>
            </w:r>
          </w:p>
          <w:p w:rsidR="00BC45FE" w:rsidRPr="001958E2" w:rsidRDefault="00BC45FE" w:rsidP="00DA6817">
            <w:pPr>
              <w:rPr>
                <w:sz w:val="18"/>
                <w:szCs w:val="18"/>
              </w:rPr>
            </w:pPr>
          </w:p>
          <w:p w:rsidR="00BC45FE" w:rsidRPr="001958E2" w:rsidRDefault="00BC45FE" w:rsidP="00DA6817">
            <w:pPr>
              <w:rPr>
                <w:sz w:val="18"/>
                <w:szCs w:val="18"/>
              </w:rPr>
            </w:pPr>
            <w:r w:rsidRPr="001958E2">
              <w:rPr>
                <w:rFonts w:cstheme="minorHAnsi"/>
                <w:color w:val="0070C0"/>
                <w:sz w:val="18"/>
                <w:szCs w:val="18"/>
              </w:rPr>
              <w:t>Schaeffer, D., Hurrelmann, K., Bauer, U., Kopatzik, K. (Hg.): Nationaler Aktionsplan Gesundheitskompetenz. Die Gesundheitskompetenz in Deutschland stärken. Berlin: KomPart 2018.</w:t>
            </w:r>
          </w:p>
          <w:p w:rsidR="00596D8A" w:rsidRPr="001958E2" w:rsidRDefault="00596D8A" w:rsidP="00D800F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</w:tcPr>
          <w:p w:rsidR="00596D8A" w:rsidRPr="002E5873" w:rsidRDefault="002E5873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E5873">
              <w:rPr>
                <w:rFonts w:cstheme="minorHAnsi"/>
                <w:color w:val="0070C0"/>
                <w:sz w:val="18"/>
                <w:szCs w:val="18"/>
              </w:rPr>
              <w:t>5-6</w:t>
            </w: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p w:rsidR="002B2823" w:rsidRDefault="002B2823" w:rsidP="002B2823"/>
    <w:sectPr w:rsidR="002B2823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3FF" w:rsidRDefault="008903FF" w:rsidP="002C78E9">
      <w:pPr>
        <w:spacing w:after="0" w:line="240" w:lineRule="auto"/>
      </w:pPr>
      <w:r>
        <w:separator/>
      </w:r>
    </w:p>
  </w:endnote>
  <w:endnote w:type="continuationSeparator" w:id="0">
    <w:p w:rsidR="008903FF" w:rsidRDefault="008903FF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400" w:rsidRDefault="001C54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884A6A">
      <w:rPr>
        <w:i/>
        <w:color w:val="808080" w:themeColor="background1" w:themeShade="80"/>
        <w:sz w:val="18"/>
        <w:szCs w:val="18"/>
      </w:rPr>
      <w:t xml:space="preserve">22.08 2019 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400" w:rsidRDefault="001C54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3FF" w:rsidRDefault="008903FF" w:rsidP="002C78E9">
      <w:pPr>
        <w:spacing w:after="0" w:line="240" w:lineRule="auto"/>
      </w:pPr>
      <w:r>
        <w:separator/>
      </w:r>
    </w:p>
  </w:footnote>
  <w:footnote w:type="continuationSeparator" w:id="0">
    <w:p w:rsidR="008903FF" w:rsidRDefault="008903FF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400" w:rsidRDefault="001C54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400" w:rsidRDefault="001C54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6FE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3537D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58E2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5400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5873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2471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59DC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3862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D7493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206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4A6A"/>
    <w:rsid w:val="00886166"/>
    <w:rsid w:val="00887A2F"/>
    <w:rsid w:val="008903FF"/>
    <w:rsid w:val="00892EF4"/>
    <w:rsid w:val="008930CE"/>
    <w:rsid w:val="0089674D"/>
    <w:rsid w:val="008969CF"/>
    <w:rsid w:val="008A12DC"/>
    <w:rsid w:val="008A1D62"/>
    <w:rsid w:val="008A27AC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2664C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44240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1FD0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5FE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2DB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A6817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1A3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C10A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D13E-B910-44DD-B5D6-C8A1743B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23</cp:revision>
  <cp:lastPrinted>2018-12-04T14:42:00Z</cp:lastPrinted>
  <dcterms:created xsi:type="dcterms:W3CDTF">2019-08-12T10:24:00Z</dcterms:created>
  <dcterms:modified xsi:type="dcterms:W3CDTF">2019-11-21T06:15:00Z</dcterms:modified>
</cp:coreProperties>
</file>